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Отчёт по лабораторной работе №</w:t>
      </w:r>
      <w:r>
        <w:rPr>
          <w:rFonts w:eastAsia="Times New Roman" w:cs="Times New Roman"/>
          <w:szCs w:val="28"/>
          <w:lang w:val="en-US"/>
        </w:rPr>
        <w:t>4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Алгоритмы компьютерной графики</w:t>
      </w:r>
    </w:p>
    <w:p>
      <w:pPr>
        <w:pStyle w:val="Normal"/>
        <w:spacing w:lineRule="auto" w:line="360"/>
        <w:ind w:left="709"/>
        <w:jc w:val="center"/>
        <w:rPr/>
      </w:pPr>
      <w:r>
        <w:rPr/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 xml:space="preserve">Выполнил: студент группы P3314 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Силинцев В.В.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Преподаватель: Потемин И.С.</w:t>
      </w:r>
    </w:p>
    <w:p>
      <w:pPr>
        <w:pStyle w:val="Normal"/>
        <w:ind w:left="709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636_3412834385">
            <w:r>
              <w:rPr>
                <w:rStyle w:val="Style13"/>
              </w:rPr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638_3412834385">
            <w:r>
              <w:rPr>
                <w:rStyle w:val="Style13"/>
              </w:rPr>
              <w:t>Задание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2_1614521587_%25D0%2">
            <w:r>
              <w:rPr>
                <w:rStyle w:val="Style13"/>
              </w:rPr>
              <w:t>Алгоритм разработанного приложения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913_30801287_%25D0%259">
            <w:r>
              <w:rPr>
                <w:rStyle w:val="Style13"/>
              </w:rPr>
              <w:t>Интерфейс пользователя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913_30801287_%25D0%251">
            <w:r>
              <w:rPr>
                <w:rStyle w:val="Style13"/>
              </w:rPr>
              <w:t>Алгоритм работы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913_30801287_%25D0%252">
            <w:r>
              <w:rPr>
                <w:rStyle w:val="Style13"/>
              </w:rPr>
              <w:t>Формула</w:t>
              <w:tab/>
              <w:t>5</w:t>
            </w:r>
          </w:hyperlink>
        </w:p>
        <w:p>
          <w:pPr>
            <w:pStyle w:val="TOC2"/>
            <w:tabs>
              <w:tab w:val="clear" w:pos="9072"/>
              <w:tab w:val="right" w:pos="9355" w:leader="dot"/>
            </w:tabs>
            <w:rPr/>
          </w:pPr>
          <w:hyperlink w:anchor="__RefHeading___Toc913_30801287_%25D0%253">
            <w:r>
              <w:rPr>
                <w:rStyle w:val="Style13"/>
              </w:rPr>
              <w:t>Сохранение файла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2_1614521587_%25D0%1">
            <w:r>
              <w:rPr>
                <w:rStyle w:val="Style13"/>
              </w:rPr>
              <w:t>Листинг программы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24_1614521587_%25D0%2">
            <w:r>
              <w:rPr>
                <w:rStyle w:val="Style13"/>
              </w:rPr>
              <w:t>Результаты работы программы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644_3412834385">
            <w:r>
              <w:rPr>
                <w:rStyle w:val="Style13"/>
              </w:rPr>
              <w:t>Выводы</w:t>
              <w:tab/>
              <w:t>9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ind w:left="709"/>
        <w:rPr/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/>
      </w:pPr>
      <w:bookmarkStart w:id="0" w:name="__RefHeading___Toc636_3412834385"/>
      <w:bookmarkEnd w:id="0"/>
      <w:r>
        <w:rPr>
          <w:rFonts w:eastAsia="Times New Roman" w:cs="Times New Roman"/>
          <w:bCs/>
          <w:color w:themeColor="text1" w:val="000000"/>
        </w:rPr>
        <w:t>Цель работы</w:t>
      </w:r>
      <w:bookmarkStart w:id="1" w:name="_Toc213488749"/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Овладеть навыками расчета и визуализации распределения яркости на диффузной сфере, освещенной точечными источниками света.</w:t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rFonts w:eastAsia="Times New Roman" w:cs="Times New Roman"/>
          <w:bCs/>
          <w:color w:themeColor="text1" w:val="000000"/>
        </w:rPr>
      </w:pPr>
      <w:r>
        <w:rPr>
          <w:rFonts w:eastAsia="Times New Roman" w:cs="Times New Roman"/>
          <w:bCs/>
          <w:color w:themeColor="text1" w:val="000000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/>
      </w:pPr>
      <w:bookmarkStart w:id="2" w:name="__RefHeading___Toc638_3412834385"/>
      <w:bookmarkEnd w:id="2"/>
      <w:r>
        <w:rPr>
          <w:rFonts w:eastAsia="Times New Roman" w:cs="Times New Roman"/>
          <w:bCs/>
          <w:color w:themeColor="text1" w:val="000000"/>
        </w:rPr>
        <w:t>Задание</w:t>
      </w:r>
      <w:bookmarkEnd w:id="1"/>
    </w:p>
    <w:p>
      <w:pPr>
        <w:pStyle w:val="BodyText"/>
        <w:numPr>
          <w:ilvl w:val="0"/>
          <w:numId w:val="2"/>
        </w:numPr>
        <w:rPr/>
      </w:pPr>
      <w:r>
        <w:rPr/>
        <w:t xml:space="preserve">Провести расчет </w:t>
      </w:r>
      <w:r>
        <w:rPr>
          <w:lang w:val="ru-RU"/>
        </w:rPr>
        <w:t>распределения яркости на сфере в пределах заданной области.</w:t>
      </w:r>
    </w:p>
    <w:p>
      <w:pPr>
        <w:pStyle w:val="BodyText"/>
        <w:numPr>
          <w:ilvl w:val="0"/>
          <w:numId w:val="2"/>
        </w:numPr>
        <w:rPr/>
      </w:pPr>
      <w:r>
        <w:rPr/>
        <w:t>Рекомендуемые пределы значений параметров для расчёта:</w:t>
      </w:r>
    </w:p>
    <w:p>
      <w:pPr>
        <w:pStyle w:val="BodyText"/>
        <w:numPr>
          <w:ilvl w:val="1"/>
          <w:numId w:val="2"/>
        </w:numPr>
        <w:rPr/>
      </w:pPr>
      <w:r>
        <w:rPr/>
        <w:t>Размер прямоугольного экрана по высоте (</w:t>
      </w:r>
      <w:r>
        <w:rPr>
          <w:lang w:val="en-US"/>
        </w:rPr>
        <w:t>H</w:t>
      </w:r>
      <w:r>
        <w:rPr/>
        <w:t>) и ширине (</w:t>
      </w:r>
      <w:r>
        <w:rPr>
          <w:lang w:val="en-US"/>
        </w:rPr>
        <w:t>W</w:t>
      </w:r>
      <w:r>
        <w:rPr/>
        <w:t>) варьируются в диапазоне от 100 до 10000 миллиметров.</w:t>
      </w:r>
    </w:p>
    <w:p>
      <w:pPr>
        <w:pStyle w:val="BodyText"/>
        <w:numPr>
          <w:ilvl w:val="1"/>
          <w:numId w:val="2"/>
        </w:numPr>
        <w:rPr/>
      </w:pPr>
      <w:r>
        <w:rPr/>
        <w:t>Разрешение изображения по высоте</w:t>
      </w:r>
      <w:r>
        <w:rPr>
          <w:lang w:val="en-US"/>
        </w:rPr>
        <w:t xml:space="preserve"> (Hres) </w:t>
      </w:r>
      <w:r>
        <w:rPr/>
        <w:t>и ширине</w:t>
      </w:r>
      <w:r>
        <w:rPr>
          <w:lang w:val="en-US"/>
        </w:rPr>
        <w:t xml:space="preserve"> (Wres) </w:t>
      </w:r>
      <w:r>
        <w:rPr/>
        <w:t>варьируются в диапазоне от 200 до 800 пикселей. Разрешение должно обеспечивать квадратные пиксели.</w:t>
      </w:r>
    </w:p>
    <w:p>
      <w:pPr>
        <w:pStyle w:val="BodyText"/>
        <w:numPr>
          <w:ilvl w:val="1"/>
          <w:numId w:val="2"/>
        </w:numPr>
        <w:rPr/>
      </w:pPr>
      <w:r>
        <w:rPr/>
        <w:t>Координаты источников света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sub>
        </m:sSub>
      </m:oMath>
      <w:r>
        <w:rPr/>
        <w:t xml:space="preserve">) </w:t>
      </w:r>
      <w:r>
        <w:rPr>
          <w:lang w:val="en-US"/>
        </w:rPr>
        <w:t>[</w:t>
      </w:r>
      <w:r>
        <w:rPr>
          <w:lang w:val="ru-RU"/>
        </w:rPr>
        <w:t>мм</w:t>
      </w:r>
      <w:r>
        <w:rPr>
          <w:lang w:val="en-US"/>
        </w:rPr>
        <w:t xml:space="preserve">] </w:t>
      </w:r>
      <w:r>
        <w:rPr>
          <w:lang w:val="ru-RU"/>
        </w:rPr>
        <w:t xml:space="preserve">по осям </w:t>
      </w:r>
      <w:r>
        <w:rPr>
          <w:lang w:val="en-US"/>
        </w:rPr>
        <w:t xml:space="preserve">X </w:t>
      </w:r>
      <w:r>
        <w:rPr>
          <w:lang w:val="ru-RU"/>
        </w:rPr>
        <w:t>и</w:t>
      </w:r>
      <w:r>
        <w:rPr>
          <w:lang w:val="en-US"/>
        </w:rPr>
        <w:t xml:space="preserve"> 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10000</m:t>
        </m:r>
      </m:oMath>
      <w:r>
        <w:rPr>
          <w:lang w:val="ru-RU"/>
        </w:rPr>
        <w:t>, по оси</w:t>
      </w:r>
      <w:r>
        <w:rPr>
          <w:lang w:val="en-US"/>
        </w:rPr>
        <w:t xml:space="preserve"> Z </w:t>
      </w:r>
      <w:r>
        <w:rPr>
          <w:lang w:val="ru-RU"/>
        </w:rPr>
        <w:t>от 100 до 10000.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Координаты наблюдателя: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</m:oMath>
      <w:r>
        <w:rPr>
          <w:lang w:val="ru-RU"/>
        </w:rPr>
        <w:t xml:space="preserve">) </w:t>
      </w:r>
      <w:r>
        <w:rPr>
          <w:lang w:val="en-US"/>
        </w:rPr>
        <w:t>[</w:t>
      </w:r>
      <w:r>
        <w:rPr>
          <w:lang w:val="ru-RU"/>
        </w:rPr>
        <w:t>мм</w:t>
      </w:r>
      <w:r>
        <w:rPr>
          <w:lang w:val="en-US"/>
        </w:rPr>
        <w:t>].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Координаты центра сферы: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C</m:t>
            </m:r>
          </m:sub>
        </m:sSub>
      </m:oMath>
      <w:r>
        <w:rPr>
          <w:lang w:val="ru-RU"/>
        </w:rPr>
        <w:t xml:space="preserve">) </w:t>
      </w:r>
      <w:r>
        <w:rPr>
          <w:lang w:val="en-US"/>
        </w:rPr>
        <w:t>[</w:t>
      </w:r>
      <w:r>
        <w:rPr>
          <w:lang w:val="ru-RU"/>
        </w:rPr>
        <w:t>мм</w:t>
      </w:r>
      <w:r>
        <w:rPr>
          <w:lang w:val="en-US"/>
        </w:rPr>
        <w:t xml:space="preserve">] </w:t>
      </w:r>
      <w:r>
        <w:rPr>
          <w:lang w:val="ru-RU"/>
        </w:rPr>
        <w:t xml:space="preserve">по осям </w:t>
      </w:r>
      <w:r>
        <w:rPr>
          <w:lang w:val="en-US"/>
        </w:rPr>
        <w:t xml:space="preserve">X </w:t>
      </w:r>
      <w:r>
        <w:rPr>
          <w:lang w:val="ru-RU"/>
        </w:rPr>
        <w:t>и</w:t>
      </w:r>
      <w:r>
        <w:rPr>
          <w:lang w:val="en-US"/>
        </w:rPr>
        <w:t xml:space="preserve"> 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10000</m:t>
        </m:r>
      </m:oMath>
      <w:r>
        <w:rPr>
          <w:lang w:val="ru-RU"/>
        </w:rPr>
        <w:t>, по оси</w:t>
      </w:r>
      <w:r>
        <w:rPr>
          <w:lang w:val="en-US"/>
        </w:rPr>
        <w:t xml:space="preserve"> Z </w:t>
      </w:r>
      <w:r>
        <w:rPr>
          <w:lang w:val="ru-RU"/>
        </w:rPr>
        <w:t>от 100 до 10000. Сфера должна целиком помещаться в область видимости.</w:t>
      </w:r>
    </w:p>
    <w:p>
      <w:pPr>
        <w:pStyle w:val="BodyText"/>
        <w:numPr>
          <w:ilvl w:val="1"/>
          <w:numId w:val="2"/>
        </w:numPr>
        <w:rPr/>
      </w:pPr>
      <w:r>
        <w:rPr>
          <w:lang w:val="ru-RU"/>
        </w:rPr>
        <w:t xml:space="preserve">Сила излучения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lang w:val="ru-RU"/>
        </w:rPr>
        <w:t xml:space="preserve"> варьируются от 0.01 до 10000 Вт/ср.</w:t>
      </w:r>
    </w:p>
    <w:p>
      <w:pPr>
        <w:pStyle w:val="BodyText"/>
        <w:numPr>
          <w:ilvl w:val="1"/>
          <w:numId w:val="2"/>
        </w:numPr>
        <w:rPr>
          <w:lang w:val="ru-RU"/>
        </w:rPr>
      </w:pPr>
      <w:r>
        <w:rPr>
          <w:lang w:val="ru-RU"/>
        </w:rPr>
        <w:t>Параметры модели Блинн-Фонга. Выбираются так, чтобы на изображении был виден ярко выраженный пик.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Написать приложение на </w:t>
      </w:r>
      <w:r>
        <w:rPr>
          <w:lang w:val="en-US"/>
        </w:rPr>
        <w:t xml:space="preserve">Python, </w:t>
      </w:r>
      <w:r>
        <w:rPr>
          <w:lang w:val="ru-RU"/>
        </w:rPr>
        <w:t>формирующее изображение рассчитанного распределения яркости для заданного разрешения с нормировкой (0-255) на максимальное значение яркости.</w:t>
      </w:r>
    </w:p>
    <w:p>
      <w:pPr>
        <w:pStyle w:val="BodyText"/>
        <w:numPr>
          <w:ilvl w:val="0"/>
          <w:numId w:val="2"/>
        </w:numPr>
        <w:rPr/>
      </w:pPr>
      <w:r>
        <w:rPr/>
        <w:t>Записать сформированное изображение в файл.</w:t>
      </w:r>
    </w:p>
    <w:p>
      <w:pPr>
        <w:pStyle w:val="BodyText"/>
        <w:numPr>
          <w:ilvl w:val="0"/>
          <w:numId w:val="2"/>
        </w:numPr>
        <w:rPr/>
      </w:pPr>
      <w:r>
        <w:rPr/>
        <w:t>Визуализировать изображение на мониторе.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3" w:name="__RefHeading___Toc522_1614521587_Копия_4"/>
      <w:bookmarkStart w:id="4" w:name="_Toc213488750"/>
      <w:bookmarkEnd w:id="3"/>
      <w:r>
        <w:rPr>
          <w:rFonts w:eastAsia="Times New Roman" w:cs="Times New Roman"/>
          <w:bCs/>
          <w:color w:val="auto"/>
        </w:rPr>
        <w:t>Алгоритм разработанного приложения</w:t>
      </w:r>
      <w:bookmarkEnd w:id="4"/>
    </w:p>
    <w:p>
      <w:pPr>
        <w:pStyle w:val="Heading2"/>
        <w:spacing w:before="0" w:after="159"/>
        <w:rPr/>
      </w:pPr>
      <w:bookmarkStart w:id="5" w:name="__RefHeading___Toc913_30801287_Копия_1_К"/>
      <w:bookmarkEnd w:id="5"/>
      <w:r>
        <w:rPr/>
        <w:t>Интерфейс пользователя</w:t>
      </w:r>
      <w:bookmarkStart w:id="6" w:name="_Toc213488753_Копия_2_Копия_1_Копия_1"/>
      <w:bookmarkEnd w:id="6"/>
    </w:p>
    <w:p>
      <w:pPr>
        <w:pStyle w:val="BodyText"/>
        <w:spacing w:lineRule="auto" w:line="360" w:before="0" w:after="159"/>
        <w:ind w:firstLine="709"/>
        <w:jc w:val="both"/>
        <w:rPr>
          <w:lang w:val="ru-RU" w:eastAsia="en-US" w:bidi="ar-SA"/>
        </w:rPr>
      </w:pPr>
      <w:r>
        <w:rPr>
          <w:lang w:val="ru-RU" w:eastAsia="en-US" w:bidi="ar-SA"/>
        </w:rPr>
        <w:t xml:space="preserve">Приложение позволяет изменять все основные параметры: размер области, разрешение изображения, координаты источников света и их силу излучения, координаты наблюдателя (по оси </w:t>
      </w:r>
      <w:r>
        <w:rPr>
          <w:lang w:val="en-US" w:eastAsia="en-US" w:bidi="ar-SA"/>
        </w:rPr>
        <w:t>z</w:t>
      </w:r>
      <w:r>
        <w:rPr>
          <w:lang w:val="ru-RU" w:eastAsia="en-US" w:bidi="ar-SA"/>
        </w:rPr>
        <w:t>), координаты центра сферы и её радиус, а также коэффициенты диффузного отражения, зеркального отражения и блеска. Ошибки ввода автоматически выводятся пользователю, что предотвращает некорректные расчёты.</w:t>
      </w:r>
    </w:p>
    <w:p>
      <w:pPr>
        <w:pStyle w:val="Heading2"/>
        <w:spacing w:before="0" w:after="159"/>
        <w:rPr/>
      </w:pPr>
      <w:r>
        <w:rPr/>
      </w:r>
    </w:p>
    <w:p>
      <w:pPr>
        <w:pStyle w:val="Heading2"/>
        <w:spacing w:before="0" w:after="159"/>
        <w:rPr/>
      </w:pPr>
      <w:bookmarkStart w:id="7" w:name="__RefHeading___Toc913_30801287_Копия_1_1"/>
      <w:bookmarkEnd w:id="7"/>
      <w:r>
        <w:rPr/>
        <w:t>Алгоритм работы</w:t>
      </w:r>
      <w:bookmarkStart w:id="8" w:name="_Toc213488753_Копия_1"/>
      <w:bookmarkEnd w:id="8"/>
    </w:p>
    <w:p>
      <w:pPr>
        <w:pStyle w:val="BodyText"/>
        <w:spacing w:lineRule="auto" w:line="360" w:before="0" w:after="159"/>
        <w:ind w:firstLine="709"/>
        <w:jc w:val="both"/>
        <w:rPr/>
      </w:pPr>
      <w:r>
        <w:rPr>
          <w:lang w:val="ru-RU"/>
        </w:rPr>
        <w:t xml:space="preserve">Для ввода параметров со стороны пользователя используется библиотека </w:t>
      </w:r>
      <w:r>
        <w:rPr>
          <w:lang w:val="en-US" w:eastAsia="en-US" w:bidi="ar-SA"/>
        </w:rPr>
        <w:t>Tkinter</w:t>
      </w:r>
      <w:r>
        <w:rPr>
          <w:lang w:val="ru-RU"/>
        </w:rPr>
        <w:t xml:space="preserve"> для создания интерфейса. При нажатии на кнопку «Рассчитать» вызывается основная функция </w:t>
      </w:r>
      <w:r>
        <w:rPr>
          <w:lang w:val="en-US" w:eastAsia="en-US" w:bidi="ar-SA"/>
        </w:rPr>
        <w:t>calculate</w:t>
      </w:r>
      <w:r>
        <w:rPr>
          <w:lang w:val="ru-RU"/>
        </w:rPr>
        <w:t xml:space="preserve">(), которая с помощью вспомогательных функций проверяет корректность введённых данных. Если все параметры верны, осуществляется расчёт </w:t>
      </w:r>
      <w:r>
        <w:rPr>
          <w:lang w:val="ru-RU"/>
        </w:rPr>
        <w:t>яркости</w:t>
      </w:r>
      <w:r>
        <w:rPr>
          <w:lang w:val="ru-RU"/>
        </w:rPr>
        <w:t>.</w:t>
      </w:r>
    </w:p>
    <w:p>
      <w:pPr>
        <w:pStyle w:val="Heading2"/>
        <w:spacing w:before="0" w:after="159"/>
        <w:rPr/>
      </w:pPr>
      <w:r>
        <w:rPr/>
      </w:r>
    </w:p>
    <w:p>
      <w:pPr>
        <w:pStyle w:val="Heading2"/>
        <w:spacing w:before="0" w:after="159"/>
        <w:rPr/>
      </w:pPr>
      <w:bookmarkStart w:id="9" w:name="__RefHeading___Toc913_30801287_Копия_1"/>
      <w:bookmarkEnd w:id="9"/>
      <w:r>
        <w:rPr/>
        <w:t>Формула</w:t>
      </w:r>
      <w:bookmarkStart w:id="10" w:name="_Toc213488753"/>
      <w:bookmarkEnd w:id="10"/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 xml:space="preserve">Для расчёта </w:t>
      </w:r>
      <w:r>
        <w:rPr/>
        <w:t>яркости</w:t>
      </w:r>
      <w:r>
        <w:rPr/>
        <w:t xml:space="preserve"> используется </w:t>
      </w:r>
      <w:r>
        <w:rPr/>
        <w:t>модель Блинн-Фонга</w:t>
      </w:r>
      <w:r>
        <w:rPr/>
        <w:t xml:space="preserve">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+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</m:sub>
                  <m:sup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+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</m:t>
                    </m:r>
                  </m:sub>
                  <m:sup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</m:d>
                  </m:sup>
                </m:sSubSup>
              </m:e>
            </m:d>
          </m:e>
        </m:nary>
      </m:oMath>
      <w:r>
        <w:rPr/>
        <w:t xml:space="preserve">, </w:t>
      </w:r>
      <w:r>
        <w:rPr/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acc>
          </m:e>
        </m:d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d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sSup>
          <m:e>
            <m:r>
              <w:rPr>
                <w:rFonts w:ascii="Cambria Math" w:hAnsi="Cambria Math"/>
              </w:rPr>
              <m:t xml:space="preserve">cos</m:t>
            </m:r>
          </m:e>
          <m:sup>
            <m:r>
              <w:rPr>
                <w:rFonts w:ascii="Cambria Math" w:hAnsi="Cambria Math"/>
              </w:rPr>
              <m:t xml:space="preserve">α</m:t>
            </m:r>
          </m:sup>
        </m:sSup>
        <m:d>
          <m:dPr>
            <m:begChr m:val="("/>
            <m:endChr m:val=")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acc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</m:d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/>
        <w:t>.</w:t>
      </w:r>
      <w:r>
        <w:rPr/>
        <w:t xml:space="preserve"> (ссылка на источник: </w:t>
      </w:r>
      <w:hyperlink r:id="rId2">
        <w:r>
          <w:rPr>
            <w:rStyle w:val="Hyperlink"/>
          </w:rPr>
          <w:t>https://kpfu.ru/staff_files/F823558158/Lecture5.pdf</w:t>
        </w:r>
      </w:hyperlink>
      <w:r>
        <w:rPr/>
        <w:t>).</w:t>
      </w:r>
    </w:p>
    <w:p>
      <w:pPr>
        <w:pStyle w:val="Heading2"/>
        <w:spacing w:before="0" w:after="159"/>
        <w:rPr>
          <w:lang w:val="ru-RU"/>
        </w:rPr>
      </w:pPr>
      <w:r>
        <w:rPr/>
      </w:r>
    </w:p>
    <w:p>
      <w:pPr>
        <w:pStyle w:val="Heading2"/>
        <w:spacing w:before="0" w:after="159"/>
        <w:rPr/>
      </w:pPr>
      <w:r>
        <w:rPr/>
      </w:r>
    </w:p>
    <w:p>
      <w:pPr>
        <w:pStyle w:val="Heading2"/>
        <w:spacing w:before="0" w:after="159"/>
        <w:rPr/>
      </w:pPr>
      <w:r>
        <w:rPr/>
      </w:r>
      <w:r>
        <w:br w:type="page"/>
      </w:r>
    </w:p>
    <w:p>
      <w:pPr>
        <w:pStyle w:val="Heading2"/>
        <w:spacing w:before="0" w:after="159"/>
        <w:rPr/>
      </w:pPr>
      <w:bookmarkStart w:id="11" w:name="__RefHeading___Toc913_30801287_Копия_1_3"/>
      <w:bookmarkEnd w:id="11"/>
      <w:r>
        <w:rPr/>
        <w:t xml:space="preserve">Сохранение </w:t>
      </w:r>
      <w:bookmarkStart w:id="12" w:name="_Toc213488753_Копия_2_Копия_1"/>
      <w:r>
        <w:rPr/>
        <w:t>ф</w:t>
      </w:r>
      <w:bookmarkEnd w:id="12"/>
      <w:r>
        <w:rPr/>
        <w:t>айла</w:t>
      </w:r>
    </w:p>
    <w:p>
      <w:pPr>
        <w:pStyle w:val="BodyText"/>
        <w:spacing w:lineRule="auto" w:line="360" w:before="0" w:after="159"/>
        <w:ind w:firstLine="709"/>
        <w:jc w:val="both"/>
        <w:rPr>
          <w:lang w:val="ru-RU" w:eastAsia="en-US" w:bidi="ar-SA"/>
        </w:rPr>
      </w:pPr>
      <w:r>
        <w:rPr>
          <w:lang w:val="ru-RU" w:eastAsia="en-US" w:bidi="ar-SA"/>
        </w:rPr>
        <w:t xml:space="preserve">Сформированное изображение можно сохранить на диск с помощью </w:t>
      </w:r>
      <w:r>
        <w:rPr>
          <w:lang w:val="ru-RU" w:eastAsia="en-US" w:bidi="ar-SA"/>
        </w:rPr>
        <w:t xml:space="preserve">кнопки «Сохранить», которая вызывает </w:t>
      </w:r>
      <w:r>
        <w:rPr>
          <w:lang w:val="ru-RU" w:eastAsia="en-US" w:bidi="ar-SA"/>
        </w:rPr>
        <w:t>функци</w:t>
      </w:r>
      <w:r>
        <w:rPr>
          <w:lang w:val="ru-RU" w:eastAsia="en-US" w:bidi="ar-SA"/>
        </w:rPr>
        <w:t>ю</w:t>
      </w:r>
      <w:r>
        <w:rPr>
          <w:lang w:val="ru-RU" w:eastAsia="en-US" w:bidi="ar-SA"/>
        </w:rPr>
        <w:t xml:space="preserve"> </w:t>
      </w:r>
      <w:r>
        <w:rPr>
          <w:lang w:val="en-US" w:eastAsia="en-US" w:bidi="ar-SA"/>
        </w:rPr>
        <w:t>save</w:t>
      </w:r>
      <w:r>
        <w:rPr>
          <w:lang w:val="ru-RU" w:eastAsia="en-US" w:bidi="ar-SA"/>
        </w:rPr>
        <w:t xml:space="preserve">(). Поддерживаются форматы PNG, JPEG и </w:t>
      </w:r>
      <w:r>
        <w:rPr>
          <w:lang w:val="en-US" w:eastAsia="en-US" w:bidi="ar-SA"/>
        </w:rPr>
        <w:t>BMP</w:t>
      </w:r>
      <w:r>
        <w:rPr>
          <w:lang w:val="ru-RU" w:eastAsia="en-US" w:bidi="ar-SA"/>
        </w:rPr>
        <w:t>.</w:t>
      </w:r>
    </w:p>
    <w:p>
      <w:pPr>
        <w:pStyle w:val="Heading2"/>
        <w:spacing w:before="0" w:after="159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3" w:name="__RefHeading___Toc522_1614521587_Копия_2"/>
      <w:bookmarkStart w:id="14" w:name="_Toc213488756"/>
      <w:bookmarkEnd w:id="13"/>
      <w:r>
        <w:rPr>
          <w:rFonts w:eastAsia="Times New Roman" w:cs="Times New Roman"/>
          <w:bCs/>
          <w:color w:val="auto"/>
        </w:rPr>
        <w:t>Листинг программы</w:t>
      </w:r>
      <w:bookmarkEnd w:id="14"/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Полный исходный код приложения:</w:t>
      </w:r>
    </w:p>
    <w:p>
      <w:pPr>
        <w:pStyle w:val="BodyText"/>
        <w:spacing w:lineRule="auto" w:line="360" w:before="0" w:after="159"/>
        <w:ind w:firstLine="709"/>
        <w:jc w:val="both"/>
        <w:rPr/>
      </w:pPr>
      <w:hyperlink r:id="rId3">
        <w:r>
          <w:rPr>
            <w:rStyle w:val="Hyperlink"/>
          </w:rPr>
          <w:t>https://github.com/vvlaads/Computer-graphics-4</w:t>
        </w:r>
      </w:hyperlink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</w:r>
    </w:p>
    <w:p>
      <w:pPr>
        <w:pStyle w:val="Heading1"/>
        <w:spacing w:lineRule="auto" w:line="360" w:before="0" w:after="0"/>
        <w:ind w:left="709"/>
        <w:jc w:val="center"/>
        <w:rPr/>
      </w:pPr>
      <w:r>
        <w:rPr/>
      </w:r>
    </w:p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r>
        <w:rPr>
          <w:rFonts w:eastAsia="Times New Roman" w:cs="Times New Roman"/>
          <w:bCs/>
          <w:color w:val="auto"/>
        </w:rPr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5" w:name="__RefHeading___Toc524_1614521587_Копия_2"/>
      <w:bookmarkEnd w:id="15"/>
      <w:r>
        <w:rPr>
          <w:rFonts w:eastAsia="Times New Roman" w:cs="Times New Roman"/>
          <w:bCs/>
          <w:color w:val="auto"/>
        </w:rPr>
        <w:t>Результаты</w:t>
      </w:r>
      <w:bookmarkStart w:id="16" w:name="_Toc213488757"/>
      <w:r>
        <w:rPr>
          <w:rFonts w:eastAsia="Times New Roman" w:cs="Times New Roman"/>
          <w:bCs/>
          <w:color w:val="auto"/>
        </w:rPr>
        <w:t xml:space="preserve"> работы программы</w:t>
      </w:r>
      <w:bookmarkEnd w:id="16"/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  <w:bookmarkStart w:id="17" w:name="_Toc213488712"/>
      <w:bookmarkStart w:id="18" w:name="_Toc213488760"/>
      <w:bookmarkStart w:id="19" w:name="_Toc213488712"/>
      <w:bookmarkStart w:id="20" w:name="_Toc213488760"/>
      <w:bookmarkEnd w:id="19"/>
      <w:bookmarkEnd w:id="20"/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565525"/>
                <wp:effectExtent l="0" t="0" r="0" b="0"/>
                <wp:wrapSquare wrapText="largest"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5655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3192780"/>
                                  <wp:effectExtent l="0" t="0" r="0" b="0"/>
                                  <wp:docPr id="5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192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Пример работы приложения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280.7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3192780"/>
                            <wp:effectExtent l="0" t="0" r="0" b="0"/>
                            <wp:docPr id="6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192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Пример работы приложения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align>center</wp:align>
                </wp:positionH>
                <wp:positionV relativeFrom="paragraph">
                  <wp:posOffset>4504055</wp:posOffset>
                </wp:positionV>
                <wp:extent cx="5940425" cy="1490980"/>
                <wp:effectExtent l="0" t="0" r="0" b="0"/>
                <wp:wrapSquare wrapText="largest"/>
                <wp:docPr id="7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4909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1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1118235"/>
                                  <wp:effectExtent l="0" t="0" r="0" b="0"/>
                                  <wp:docPr id="8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118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Пример работы приложения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7.75pt;height:117.4pt;mso-wrap-distance-left:0pt;mso-wrap-distance-right:0pt;mso-wrap-distance-top:0pt;mso-wrap-distance-bottom:0pt;margin-top:354.65pt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21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1118235"/>
                            <wp:effectExtent l="0" t="0" r="0" b="0"/>
                            <wp:docPr id="9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118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Пример работы приложения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21" w:name="__RefHeading___Toc644_3412834385"/>
      <w:bookmarkStart w:id="22" w:name="_Toc213488761"/>
      <w:bookmarkStart w:id="23" w:name="_Toc146616696"/>
      <w:bookmarkEnd w:id="21"/>
      <w:r>
        <w:rPr>
          <w:rFonts w:eastAsia="Times New Roman" w:cs="Times New Roman"/>
          <w:bCs/>
          <w:color w:val="auto"/>
        </w:rPr>
        <w:t>В</w:t>
      </w:r>
      <w:bookmarkEnd w:id="23"/>
      <w:r>
        <w:rPr>
          <w:rFonts w:eastAsia="Times New Roman" w:cs="Times New Roman"/>
          <w:bCs/>
          <w:color w:val="auto"/>
        </w:rPr>
        <w:t>ыводы</w:t>
      </w:r>
      <w:bookmarkEnd w:id="22"/>
    </w:p>
    <w:p>
      <w:pPr>
        <w:pStyle w:val="Normal"/>
        <w:spacing w:lineRule="auto" w:line="360" w:before="0" w:after="160"/>
        <w:ind w:firstLine="709"/>
        <w:jc w:val="both"/>
        <w:rPr/>
      </w:pPr>
      <w:r>
        <w:rPr>
          <w:rFonts w:eastAsia="Times New Roman" w:cs="Times New Roman"/>
          <w:szCs w:val="28"/>
        </w:rPr>
        <w:t>В ходе выполнения работы была реализована математическая модель расчёта распределения яркости на поверхности сферы с использованием модели Блинн-Фонга. Алгоритм учитывает координаты двух точечных источников света, их интенсивность, геометрические параметры сферы (координаты центра и радиус), положение наблюдателя, а также коэффициенты диффузного и зеркального отражения вместе с показателем блеска. Для каждого пикселя результирующего изображения производится расчёт пересечения луча наблюдателя со сферой, определяется нормаль в точке пересечения и вычисляется освещённость по модели Блинн-Фонга, после чего полученные значения яркости нормируются в диапазон 0–255 для формирования изображения.</w:t>
      </w:r>
    </w:p>
    <w:p>
      <w:pPr>
        <w:pStyle w:val="Normal"/>
        <w:spacing w:lineRule="auto" w:line="360" w:before="0" w:after="160"/>
        <w:ind w:firstLine="709"/>
        <w:jc w:val="both"/>
        <w:rPr/>
      </w:pPr>
      <w:r>
        <w:rPr>
          <w:rFonts w:eastAsia="Times New Roman" w:cs="Times New Roman"/>
          <w:szCs w:val="28"/>
        </w:rPr>
        <w:t>Программа включает систему валидации входных параметров, которая проверяет соответствие введённых значений допустимым диапазонам, что предотвращает ошибки в расчётах. Пользовательский интерфейс, разработанный на Tkinter, позволяет интерактивно изменять все параметры сцены и визуализировать результат в реальном времени, а также сохранять итоговое изображение в файл стандартных графических форматов.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en-US"/>
            </w:rPr>
            <w:t>5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36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spacing w:lineRule="auto" w:line="360" w:before="0" w:after="159"/>
      <w:ind w:firstLine="709"/>
      <w:outlineLvl w:val="1"/>
    </w:pPr>
    <w:rPr>
      <w:b/>
      <w:bCs/>
      <w:szCs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Верхний колонтитул Знак"/>
    <w:basedOn w:val="DefaultParagraphFont"/>
    <w:uiPriority w:val="99"/>
    <w:qFormat/>
    <w:rPr/>
  </w:style>
  <w:style w:type="character" w:styleId="Style12" w:customStyle="1">
    <w:name w:val="Нижний колонтитул Знак"/>
    <w:basedOn w:val="DefaultParagraphFont"/>
    <w:uiPriority w:val="99"/>
    <w:qFormat/>
    <w:rPr/>
  </w:style>
  <w:style w:type="character" w:styleId="Style13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>
      <w:rFonts w:ascii="Times New Roman" w:hAnsi="Times New Roman"/>
      <w:position w:val="0"/>
      <w:sz w:val="28"/>
      <w:sz w:val="28"/>
      <w:szCs w:val="28"/>
      <w:vertAlign w:val="baseli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6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itle">
    <w:name w:val="Title"/>
    <w:basedOn w:val="Normal"/>
    <w:next w:val="BodyText"/>
    <w:qFormat/>
    <w:pPr>
      <w:jc w:val="center"/>
    </w:pPr>
    <w:rPr>
      <w:b/>
      <w:bCs/>
      <w:sz w:val="56"/>
      <w:szCs w:val="56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">
    <w:name w:val="index heading1"/>
    <w:basedOn w:val="Title"/>
    <w:qFormat/>
    <w:pPr/>
    <w:rPr/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1" w:customStyle="1">
    <w:name w:val="index heading11"/>
    <w:basedOn w:val="Normal"/>
    <w:qFormat/>
    <w:pPr/>
    <w:rPr/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9" w:customStyle="1">
    <w:name w:val="Колонтитул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2">
    <w:name w:val="index heading2"/>
    <w:basedOn w:val="Style17"/>
    <w:qFormat/>
    <w:pPr/>
    <w:rPr/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sz w:val="36"/>
      <w:lang w:val="en-US"/>
    </w:rPr>
  </w:style>
  <w:style w:type="paragraph" w:styleId="Style21" w:customStyle="1">
    <w:name w:val="Рисунок"/>
    <w:basedOn w:val="Caption111"/>
    <w:qFormat/>
    <w:pPr/>
    <w:rPr>
      <w:i w:val="false"/>
      <w:iCs w:val="false"/>
      <w:sz w:val="28"/>
      <w:szCs w:val="28"/>
    </w:rPr>
  </w:style>
  <w:style w:type="paragraph" w:styleId="Style22">
    <w:name w:val="Содержимое врезки"/>
    <w:basedOn w:val="Normal"/>
    <w:qFormat/>
    <w:pPr/>
    <w:rPr/>
  </w:style>
  <w:style w:type="paragraph" w:styleId="Style23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4" w:customStyle="1">
    <w:name w:val="Заголовок таблицы"/>
    <w:basedOn w:val="Style23"/>
    <w:qFormat/>
    <w:pPr>
      <w:jc w:val="center"/>
    </w:pPr>
    <w:rPr>
      <w:b/>
      <w:bCs/>
    </w:rPr>
  </w:style>
  <w:style w:type="paragraph" w:styleId="Style25" w:customStyle="1">
    <w:name w:val="Фигура"/>
    <w:basedOn w:val="Caption111"/>
    <w:qFormat/>
    <w:pPr/>
    <w:rPr/>
  </w:style>
  <w:style w:type="paragraph" w:styleId="Style26" w:customStyle="1">
    <w:name w:val="График"/>
    <w:basedOn w:val="Caption111"/>
    <w:qFormat/>
    <w:pPr/>
    <w:rPr/>
  </w:style>
  <w:style w:type="paragraph" w:styleId="TOC2">
    <w:name w:val="TOC 2"/>
    <w:basedOn w:val="Normal"/>
    <w:uiPriority w:val="39"/>
    <w:pPr>
      <w:tabs>
        <w:tab w:val="clear" w:pos="708"/>
        <w:tab w:val="right" w:pos="9072" w:leader="dot"/>
      </w:tabs>
      <w:ind w:left="283"/>
    </w:pPr>
    <w:rPr/>
  </w:style>
  <w:style w:type="paragraph" w:styleId="TOC3">
    <w:name w:val="TOC 3"/>
    <w:basedOn w:val="Normal"/>
    <w:pPr>
      <w:tabs>
        <w:tab w:val="clear" w:pos="708"/>
        <w:tab w:val="right" w:pos="8788" w:leader="dot"/>
      </w:tabs>
      <w:ind w:left="567"/>
    </w:pPr>
    <w:rPr/>
  </w:style>
  <w:style w:type="numbering" w:styleId="Style27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c">
    <w:name w:val="Table Grid"/>
    <w:basedOn w:val="a2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pfu.ru/staff_files/F823558158/Lecture5.pdf" TargetMode="External"/><Relationship Id="rId3" Type="http://schemas.openxmlformats.org/officeDocument/2006/relationships/hyperlink" Target="https://github.com/vvlaads/Computer-graphics-4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8324</TotalTime>
  <Application>LibreOffice/7.6.2.1$Windows_X86_64 LibreOffice_project/56f7684011345957bbf33a7ee678afaf4d2ba333</Application>
  <AppVersion>15.0000</AppVersion>
  <Pages>9</Pages>
  <Words>522</Words>
  <Characters>3632</Characters>
  <CharactersWithSpaces>4090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2025-10-11T12:33:00Z</cp:lastPrinted>
  <dcterms:modified xsi:type="dcterms:W3CDTF">2025-12-20T01:34:35Z</dcterms:modified>
  <cp:revision>1431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