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fillcolor="white" stroked="f" o:allowincell="f" style="position:absolute;margin-left:-16.8pt;margin-top:0.05pt;width:16.75pt;height:16.75pt;mso-wrap-style:none;v-text-anchor:middl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fillcolor="white" stroked="f" o:allowincell="f" style="position:absolute;margin-left:-16.8pt;margin-top:0.05pt;width:16.75pt;height:16.75pt;mso-wrap-style:none;v-text-anchor:middl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fillcolor="white" stroked="f" o:allowincell="f" style="position:absolute;margin-left:-16.8pt;margin-top:0.05pt;width:16.75pt;height:16.75pt;mso-wrap-style:none;v-text-anchor:middl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Методы обработки изображений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Лабораторная работа №1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«Вычисление яркости в точках на поверхности»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Выполнил студент: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Силинцев Владислав Витальевич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Группа № </w:t>
      </w: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3314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Потемин Игорь Станиславович</w:t>
      </w:r>
    </w:p>
    <w:p>
      <w:pPr>
        <w:pStyle w:val="Normal"/>
        <w:ind w:left="709"/>
        <w:rPr/>
      </w:pPr>
      <w:r>
        <w:rPr/>
      </w:r>
    </w:p>
    <w:p>
      <w:pPr>
        <w:pStyle w:val="TOC1"/>
        <w:tabs>
          <w:tab w:val="clear" w:pos="708"/>
          <w:tab w:val="right" w:pos="9355" w:leader="dot"/>
        </w:tabs>
        <w:rPr/>
      </w:pPr>
      <w:r>
        <w:rPr/>
      </w:r>
    </w:p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before="0" w:after="159"/>
        <w:rPr>
          <w:lang w:val="ru-RU"/>
        </w:rPr>
      </w:pPr>
      <w:r>
        <w:rPr>
          <w:lang w:val="ru-RU"/>
        </w:rPr>
        <w:t>Изучить, как вычисляется яркость в точках на плоскости треугольника с учетом освещения от точечных источников света и диффузно отражательных свойств поверхности.</w:t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2" w:name="__RefHeading___Toc636_3412834385_Копия_1"/>
      <w:bookmarkEnd w:id="2"/>
      <w:r>
        <w:rPr>
          <w:rFonts w:eastAsia="Times New Roman" w:cs="Times New Roman"/>
          <w:bCs/>
          <w:color w:themeColor="text1" w:val="000000"/>
        </w:rPr>
        <w:t>Используемые формулы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«Цветная» сила излучения источника под углом к оси источника света: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</m:acc>
          </m:e>
        </m:d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</m:e>
        </m:d>
        <m: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θ</m:t>
        </m:r>
      </m:oMath>
      <w:r>
        <w:rPr>
          <w:lang w:val="ru-RU"/>
        </w:rPr>
        <w:t xml:space="preserve">, где </w:t>
      </w:r>
      <w:r>
        <w:rPr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</m:e>
        </m:d>
      </m:oMath>
      <w:r>
        <w:rPr>
          <w:lang w:val="ru-RU"/>
        </w:rPr>
        <w:t xml:space="preserve"> – «цветная» сила излучения источника света в направлении его оси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O</m:t>
            </m:r>
          </m:e>
        </m:acc>
      </m:oMath>
      <w:r>
        <w:rPr>
          <w:lang w:val="ru-RU"/>
        </w:rPr>
        <w:t xml:space="preserve">.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θ</m:t>
        </m:r>
      </m:oMath>
      <w:r>
        <w:rPr>
          <w:lang w:val="ru-RU"/>
        </w:rPr>
        <w:t xml:space="preserve"> </w:t>
      </w:r>
      <w:r>
        <w:rPr>
          <w:lang w:val="en-US"/>
        </w:rPr>
        <w:t xml:space="preserve">– </w:t>
      </w:r>
      <w:r>
        <w:rPr>
          <w:lang w:val="ru-RU"/>
        </w:rPr>
        <w:t>угол между направлением распространения света и осью источника света.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«Цветная» освещенность точки: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E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I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RGB</m:t>
                </m:r>
                <m:r>
                  <w:rPr>
                    <w:rFonts w:ascii="Cambria Math" w:hAnsi="Cambria Math"/>
                  </w:rPr>
                  <m:t xml:space="preserve">,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s</m:t>
                    </m:r>
                  </m:e>
                </m:acc>
              </m:e>
            </m:d>
            <m:r>
              <w:rPr>
                <w:rFonts w:ascii="Cambria Math" w:hAnsi="Cambria Math"/>
              </w:rPr>
              <m:t xml:space="preserve">cos</m:t>
            </m:r>
            <m:r>
              <w:rPr>
                <w:rFonts w:ascii="Cambria Math" w:hAnsi="Cambria Math"/>
              </w:rPr>
              <m:t xml:space="preserve">α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>
          <w:lang w:val="ru-RU"/>
        </w:rPr>
        <w:t xml:space="preserve">, где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</m:acc>
          </m:e>
        </m:d>
      </m:oMath>
      <w:r>
        <w:rPr>
          <w:lang w:val="ru-RU"/>
        </w:rPr>
        <w:t xml:space="preserve"> </w:t>
      </w:r>
      <w:r>
        <w:rPr>
          <w:lang w:val="en-US"/>
        </w:rPr>
        <w:t xml:space="preserve">– </w:t>
      </w:r>
      <w:r>
        <w:rPr>
          <w:lang w:val="ru-RU"/>
        </w:rPr>
        <w:t xml:space="preserve">«цветная» сила излучения света,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>
          <w:lang w:val="ru-RU"/>
        </w:rPr>
        <w:t xml:space="preserve"> </w:t>
      </w:r>
      <w:r>
        <w:rPr>
          <w:lang w:val="en-US"/>
        </w:rPr>
        <w:t xml:space="preserve">– </w:t>
      </w:r>
      <w:r>
        <w:rPr>
          <w:lang w:val="ru-RU"/>
        </w:rPr>
        <w:t xml:space="preserve">угол между направлением света и нормалью к освещаемой поверхности,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</m:oMath>
      <w:r>
        <w:rPr>
          <w:lang w:val="ru-RU"/>
        </w:rPr>
        <w:t xml:space="preserve"> – расстояние от источника света до рассматриваемой точки.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Перевод локальных координат точки в плоскости в глобальные: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</m:sub>
            </m:sSub>
          </m:e>
        </m:acc>
        <m:r>
          <w:rPr>
            <w:rFonts w:ascii="Cambria Math" w:hAnsi="Cambria Math"/>
          </w:rPr>
          <m:t xml:space="preserve">=</m:t>
        </m:r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</m:e>
        </m:acc>
        <m:r>
          <w:rPr>
            <w:rFonts w:ascii="Cambria Math" w:hAnsi="Cambria Math"/>
          </w:rPr>
          <m:t xml:space="preserve">+</m:t>
        </m:r>
        <m:d>
          <m:dPr>
            <m:begChr m:val="("/>
            <m:endChr m:val=")"/>
          </m:dPr>
          <m:e>
            <m:f>
              <m:num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</m:e>
                </m:acc>
              </m:num>
              <m:den>
                <m:d>
                  <m:dPr>
                    <m:begChr m:val="‖"/>
                    <m:endChr m:val="‖"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−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e>
                    </m:acc>
                  </m:e>
                </m:d>
              </m:den>
            </m:f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+</m:t>
            </m:r>
            <m:f>
              <m:num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</m:e>
                </m:acc>
              </m:num>
              <m:den>
                <m:d>
                  <m:dPr>
                    <m:begChr m:val="‖"/>
                    <m:endChr m:val="‖"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−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e>
                    </m:acc>
                  </m:e>
                </m:d>
              </m:den>
            </m:f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y</m:t>
            </m:r>
          </m:e>
        </m:d>
      </m:oMath>
      <w:r>
        <w:rPr>
          <w:lang w:val="ru-RU"/>
        </w:rPr>
        <w:t xml:space="preserve">, где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</m:oMath>
      <w:r>
        <w:rPr>
          <w:lang w:val="ru-RU"/>
        </w:rPr>
        <w:t xml:space="preserve"> и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</m:oMath>
      <w:r>
        <w:rPr>
          <w:lang w:val="ru-RU"/>
        </w:rPr>
        <w:t xml:space="preserve"> смещения по ребрам треугольника.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Вычисление вектора нормали плоскости треугольника через 3 точки: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N</m:t>
            </m:r>
          </m:e>
        </m:acc>
        <m:r>
          <w:rPr>
            <w:rFonts w:ascii="Cambria Math" w:hAnsi="Cambria Math"/>
          </w:rPr>
          <m:t xml:space="preserve">=</m:t>
        </m:r>
        <m:f>
          <m:num>
            <m:d>
              <m:dPr>
                <m:begChr m:val="("/>
                <m:endChr m:val=")"/>
              </m:dPr>
              <m:e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</m:e>
                </m:acc>
              </m:e>
            </m:d>
            <m:r>
              <w:rPr>
                <w:rFonts w:ascii="Cambria Math" w:hAnsi="Cambria Math"/>
              </w:rPr>
              <m:t xml:space="preserve">×</m:t>
            </m:r>
            <m:d>
              <m:dPr>
                <m:begChr m:val="("/>
                <m:endChr m:val=")"/>
              </m:dPr>
              <m:e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⃗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‖"/>
                <m:endChr m:val="‖"/>
              </m:dPr>
              <m:e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−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×</m:t>
                </m:r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−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</m:sSub>
                      </m:e>
                    </m:acc>
                  </m:e>
                </m:d>
              </m:e>
            </m:d>
          </m:den>
        </m:f>
      </m:oMath>
      <w:r>
        <w:rPr>
          <w:lang w:val="ru-RU"/>
        </w:rPr>
        <w:t>.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Вектор от точки плоскости до источника света: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s</m:t>
            </m:r>
          </m:e>
        </m:acc>
        <m:r>
          <w:rPr>
            <w:rFonts w:ascii="Cambria Math" w:hAnsi="Cambria Math"/>
          </w:rPr>
          <m:t xml:space="preserve">=</m:t>
        </m:r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</m:sub>
            </m:sSub>
          </m:e>
        </m:acc>
        <m:r>
          <w:rPr>
            <w:rFonts w:ascii="Cambria Math" w:hAnsi="Cambria Math"/>
          </w:rPr>
          <m:t xml:space="preserve">−</m:t>
        </m:r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L</m:t>
                </m:r>
              </m:sub>
            </m:sSub>
          </m:e>
        </m:acc>
      </m:oMath>
      <w:r>
        <w:rPr>
          <w:lang w:val="ru-RU"/>
        </w:rPr>
        <w:t xml:space="preserve">, </w:t>
      </w:r>
      <w:r>
        <w:rPr>
          <w:lang w:val="ru-RU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R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sSup>
          <m:e>
            <m:d>
              <m:dPr>
                <m:begChr m:val="‖"/>
                <m:endChr m:val="‖"/>
              </m:dPr>
              <m:e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s</m:t>
                    </m:r>
                  </m:e>
                </m:acc>
              </m:e>
            </m:d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rPr>
          <w:lang w:val="ru-RU"/>
        </w:rPr>
        <w:t xml:space="preserve">,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=</m:t>
        </m:r>
        <m:f>
          <m:num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</m:acc>
            <m:r>
              <w:rPr>
                <w:rFonts w:ascii="Cambria Math" w:hAnsi="Cambria Math"/>
              </w:rPr>
              <m:t xml:space="preserve">⋅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</m:acc>
          </m:num>
          <m:den>
            <m:d>
              <m:dPr>
                <m:begChr m:val="‖"/>
                <m:endChr m:val="‖"/>
              </m:dPr>
              <m:e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s</m:t>
                    </m:r>
                  </m:e>
                </m:acc>
              </m:e>
            </m:d>
          </m:den>
        </m:f>
      </m:oMath>
      <w:r>
        <w:rPr>
          <w:lang w:val="ru-RU"/>
        </w:rPr>
        <w:t xml:space="preserve">,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θ</m:t>
        </m:r>
        <m:r>
          <w:rPr>
            <w:rFonts w:ascii="Cambria Math" w:hAnsi="Cambria Math"/>
          </w:rPr>
          <m:t xml:space="preserve">=</m:t>
        </m:r>
        <m:f>
          <m:num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</m:acc>
            <m:r>
              <w:rPr>
                <w:rFonts w:ascii="Cambria Math" w:hAnsi="Cambria Math"/>
              </w:rPr>
              <m:t xml:space="preserve">⋅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O</m:t>
                </m:r>
              </m:e>
            </m:acc>
          </m:num>
          <m:den>
            <m:d>
              <m:dPr>
                <m:begChr m:val="‖"/>
                <m:endChr m:val="‖"/>
              </m:dPr>
              <m:e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s</m:t>
                    </m:r>
                  </m:e>
                </m:acc>
              </m:e>
            </m:d>
          </m:den>
        </m:f>
      </m:oMath>
      <w:r>
        <w:rPr>
          <w:lang w:val="ru-RU"/>
        </w:rPr>
        <w:t>.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Яркость точки: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L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</m:acc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π</m:t>
            </m:r>
          </m:den>
        </m:f>
        <m:nary>
          <m:naryPr>
            <m:chr m:val="∑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  <m:r>
              <w:rPr>
                <w:rFonts w:ascii="Cambria Math" w:hAnsi="Cambria Math"/>
              </w:rPr>
              <m:t xml:space="preserve">∈</m:t>
            </m:r>
            <m:r>
              <w:rPr>
                <w:rFonts w:ascii="Cambria Math" w:hAnsi="Cambria Math"/>
              </w:rPr>
              <m:t xml:space="preserve">lights</m:t>
            </m:r>
          </m:sub>
          <m:sup/>
          <m:e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RGB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sub>
                        </m:sSub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f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RGB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</m:e>
                </m:d>
              </m:e>
            </m:d>
          </m:e>
        </m:nary>
      </m:oMath>
      <w:r>
        <w:rPr>
          <w:lang w:val="ru-RU"/>
        </w:rPr>
        <w:t xml:space="preserve">, где </w:t>
      </w:r>
      <w:r>
        <w:rPr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e>
            </m:acc>
          </m:e>
        </m:d>
      </m:oMath>
      <w:r>
        <w:rPr>
          <w:lang w:val="ru-RU"/>
        </w:rPr>
        <w:t xml:space="preserve"> </w:t>
      </w:r>
      <w:r>
        <w:rPr>
          <w:lang w:val="en-US"/>
        </w:rPr>
        <w:t xml:space="preserve">– </w:t>
      </w:r>
      <w:r>
        <w:rPr>
          <w:lang w:val="ru-RU"/>
        </w:rPr>
        <w:t xml:space="preserve">освещенность от </w:t>
      </w:r>
      <w:r>
        <w:rPr>
          <w:lang w:val="en-US"/>
        </w:rPr>
        <w:t>i-</w:t>
      </w:r>
      <w:r>
        <w:rPr>
          <w:lang w:val="ru-RU"/>
        </w:rPr>
        <w:t xml:space="preserve">го источника света,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</m:sub>
            </m:sSub>
          </m:e>
        </m:acc>
      </m:oMath>
      <w:r>
        <w:rPr>
          <w:lang w:val="ru-RU"/>
        </w:rPr>
        <w:t xml:space="preserve"> – координаты точки,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v</m:t>
            </m:r>
          </m:e>
        </m:acc>
      </m:oMath>
      <w:r>
        <w:rPr>
          <w:lang w:val="ru-RU"/>
        </w:rPr>
        <w:t xml:space="preserve"> </w:t>
      </w:r>
      <w:r>
        <w:rPr>
          <w:lang w:val="en-US"/>
        </w:rPr>
        <w:t xml:space="preserve">– </w:t>
      </w:r>
      <w:r>
        <w:rPr>
          <w:lang w:val="ru-RU"/>
        </w:rPr>
        <w:t xml:space="preserve">направление наблюдения,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acc>
      </m:oMath>
      <w:r>
        <w:rPr>
          <w:lang w:val="ru-RU"/>
        </w:rPr>
        <w:t xml:space="preserve"> – </w:t>
      </w:r>
      <w:r>
        <w:rPr>
          <w:lang w:val="az-Cyrl-AZ"/>
        </w:rPr>
        <w:t xml:space="preserve">направление на источник света, </w:t>
      </w:r>
      <w:r>
        <w:rPr>
          <w:lang w:val="az-Cyrl-AZ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</m:e>
            </m:acc>
          </m:e>
        </m:d>
      </m:oMath>
      <w:r>
        <w:rPr>
          <w:lang w:val="az-Cyrl-AZ"/>
        </w:rPr>
        <w:t xml:space="preserve"> </w:t>
      </w:r>
      <w:r>
        <w:rPr>
          <w:lang w:val="en-US"/>
        </w:rPr>
        <w:t xml:space="preserve">– </w:t>
      </w:r>
      <w:r>
        <w:rPr>
          <w:lang w:val="ru-RU"/>
        </w:rPr>
        <w:t>двунаправленная функция отражения (</w:t>
      </w:r>
      <w:r>
        <w:rPr>
          <w:lang w:val="en-US"/>
        </w:rPr>
        <w:t>BRDF</w:t>
      </w:r>
      <w:r>
        <w:rPr>
          <w:lang w:val="ru-RU"/>
        </w:rPr>
        <w:t xml:space="preserve">),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</m:e>
        </m:d>
      </m:oMath>
      <w:r>
        <w:rPr>
          <w:lang w:val="ru-RU"/>
        </w:rPr>
        <w:t xml:space="preserve"> </w:t>
      </w:r>
      <w:r>
        <w:rPr>
          <w:lang w:val="en-US"/>
        </w:rPr>
        <w:t>–</w:t>
      </w:r>
      <w:r>
        <w:rPr>
          <w:lang w:val="ru-RU"/>
        </w:rPr>
        <w:t xml:space="preserve"> «цвет» поверхности.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Двунаправленная функция отражения: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K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RGB</m:t>
            </m:r>
          </m:e>
        </m:d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d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s</m:t>
                </m:r>
              </m:sub>
            </m:sSub>
            <m:sSup>
              <m:e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⋅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</m:acc>
                  </m:e>
                </m:d>
              </m:e>
              <m:sup>
                <m:sSub>
                  <m:e>
                    <m:r>
                      <w:rPr>
                        <w:rFonts w:ascii="Cambria Math" w:hAnsi="Cambria Math"/>
                      </w:rPr>
                      <m:t xml:space="preserve"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</m:sSub>
              </m:sup>
            </m:sSup>
          </m:e>
        </m:d>
      </m:oMath>
      <w:r>
        <w:rPr>
          <w:lang w:val="ru-RU"/>
        </w:rPr>
        <w:t xml:space="preserve">, где </w:t>
      </w:r>
      <w:r>
        <w:rPr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>
          <w:lang w:val="ru-RU"/>
        </w:rPr>
        <w:t xml:space="preserve"> </w:t>
      </w:r>
      <w:r>
        <w:rPr>
          <w:lang w:val="en-US"/>
        </w:rPr>
        <w:t xml:space="preserve">– </w:t>
      </w:r>
      <w:r>
        <w:rPr>
          <w:lang w:val="ru-RU"/>
        </w:rPr>
        <w:t xml:space="preserve">коэффициент диффузного отражения поверхности, </w:t>
      </w:r>
      <w:r>
        <w:rPr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>
          <w:lang w:val="ru-RU"/>
        </w:rPr>
        <w:t xml:space="preserve"> – коэффициент зеркального отражения поверхности, </w:t>
      </w:r>
      <w:r>
        <w:rPr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</m:sSub>
      </m:oMath>
      <w:r>
        <w:rPr>
          <w:lang w:val="ru-RU"/>
        </w:rPr>
        <w:t xml:space="preserve"> – коэффициент, определяющий ширину блика,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h</m:t>
            </m:r>
          </m:e>
        </m:acc>
      </m:oMath>
      <w:r>
        <w:rPr>
          <w:lang w:val="ru-RU"/>
        </w:rPr>
        <w:t xml:space="preserve">– средний вектор между направлениями освещения и наблюдения,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N</m:t>
            </m:r>
          </m:e>
        </m:acc>
      </m:oMath>
      <w:r>
        <w:rPr>
          <w:lang w:val="ru-RU"/>
        </w:rPr>
        <w:t xml:space="preserve"> – нормаль к поверхности в точке освещения.</w:t>
      </w:r>
    </w:p>
    <w:p>
      <w:pPr>
        <w:pStyle w:val="BodyText"/>
        <w:numPr>
          <w:ilvl w:val="0"/>
          <w:numId w:val="2"/>
        </w:numPr>
        <w:spacing w:before="0" w:after="159"/>
        <w:rPr>
          <w:lang w:val="ru-RU"/>
        </w:rPr>
      </w:pPr>
      <w:r>
        <w:rPr>
          <w:lang w:val="ru-RU"/>
        </w:rPr>
        <w:t xml:space="preserve">Средний вектор: </w:t>
      </w:r>
      <w:r>
        <w:rPr>
          <w:lang w:val="ru-RU"/>
        </w:rPr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h</m:t>
            </m:r>
          </m:e>
        </m:acc>
        <m:r>
          <w:rPr>
            <w:rFonts w:ascii="Cambria Math" w:hAnsi="Cambria Math"/>
          </w:rPr>
          <m:t xml:space="preserve">=</m:t>
        </m:r>
        <m:f>
          <m:num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</m:acc>
            <m:r>
              <w:rPr>
                <w:rFonts w:ascii="Cambria Math" w:hAnsi="Cambria Math"/>
              </w:rPr>
              <m:t xml:space="preserve">+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</m:acc>
          </m:num>
          <m:den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</m:acc>
            <m:r>
              <w:rPr>
                <w:rFonts w:ascii="Cambria Math" w:hAnsi="Cambria Math"/>
              </w:rPr>
              <m:t xml:space="preserve">+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</m:acc>
          </m:den>
        </m:f>
      </m:oMath>
      <w:r>
        <w:rPr>
          <w:lang w:val="ru-RU"/>
        </w:rPr>
        <w:t>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3" w:name="__RefHeading___Toc638_3412834385"/>
      <w:bookmarkEnd w:id="1"/>
      <w:bookmarkEnd w:id="3"/>
      <w:r>
        <w:rPr>
          <w:rFonts w:eastAsia="Times New Roman" w:cs="Times New Roman"/>
          <w:bCs/>
          <w:color w:themeColor="text1" w:val="000000"/>
        </w:rPr>
        <w:t>Шаги алгоритма</w:t>
      </w:r>
    </w:p>
    <w:p>
      <w:pPr>
        <w:pStyle w:val="BodyText"/>
        <w:numPr>
          <w:ilvl w:val="0"/>
          <w:numId w:val="3"/>
        </w:numPr>
        <w:rPr/>
      </w:pPr>
      <w:r>
        <w:rPr/>
        <w:t>Получаем исходные данные.</w:t>
      </w:r>
    </w:p>
    <w:p>
      <w:pPr>
        <w:pStyle w:val="BodyText"/>
        <w:numPr>
          <w:ilvl w:val="0"/>
          <w:numId w:val="3"/>
        </w:numPr>
        <w:rPr/>
      </w:pPr>
      <w:r>
        <w:rPr/>
        <w:t>Идем в цикле по точкам.</w:t>
      </w:r>
    </w:p>
    <w:p>
      <w:pPr>
        <w:pStyle w:val="BodyText"/>
        <w:numPr>
          <w:ilvl w:val="0"/>
          <w:numId w:val="3"/>
        </w:numPr>
        <w:rPr/>
      </w:pPr>
      <w:r>
        <w:rPr/>
        <w:t>Переводим локальные координаты точки в глобальные.</w:t>
      </w:r>
    </w:p>
    <w:p>
      <w:pPr>
        <w:pStyle w:val="BodyText"/>
        <w:numPr>
          <w:ilvl w:val="0"/>
          <w:numId w:val="3"/>
        </w:numPr>
        <w:rPr/>
      </w:pPr>
      <w:r>
        <w:rPr/>
        <w:t>Считаем силу излучения для точки от каждого источника света.</w:t>
      </w:r>
    </w:p>
    <w:p>
      <w:pPr>
        <w:pStyle w:val="BodyText"/>
        <w:numPr>
          <w:ilvl w:val="0"/>
          <w:numId w:val="3"/>
        </w:numPr>
        <w:rPr/>
      </w:pPr>
      <w:r>
        <w:rPr/>
        <w:t>Считаем освещенность для точки от каждого источника света.</w:t>
      </w:r>
    </w:p>
    <w:p>
      <w:pPr>
        <w:pStyle w:val="BodyText"/>
        <w:numPr>
          <w:ilvl w:val="0"/>
          <w:numId w:val="3"/>
        </w:numPr>
        <w:rPr/>
      </w:pPr>
      <w:r>
        <w:rPr/>
        <w:t>Считаем двунаправленную функцию отражения от каждого источника света.</w:t>
      </w:r>
    </w:p>
    <w:p>
      <w:pPr>
        <w:pStyle w:val="BodyText"/>
        <w:numPr>
          <w:ilvl w:val="0"/>
          <w:numId w:val="3"/>
        </w:numPr>
        <w:rPr/>
      </w:pPr>
      <w:r>
        <w:rPr/>
        <w:t>Вычисляем яркость точки.</w:t>
      </w:r>
    </w:p>
    <w:p>
      <w:pPr>
        <w:pStyle w:val="BodyText"/>
        <w:numPr>
          <w:ilvl w:val="0"/>
          <w:numId w:val="3"/>
        </w:numPr>
        <w:rPr/>
      </w:pPr>
      <w:r>
        <w:rPr/>
        <w:t>Выводим полученные результаты.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4" w:name="__RefHeading___Toc522_1614521587_Копия_4"/>
      <w:bookmarkStart w:id="5" w:name="_Toc213488756"/>
      <w:bookmarkEnd w:id="4"/>
      <w:r>
        <w:rPr>
          <w:rFonts w:eastAsia="Times New Roman" w:cs="Times New Roman"/>
          <w:bCs/>
          <w:color w:val="auto"/>
        </w:rPr>
        <w:t>Листинг программы</w:t>
      </w:r>
      <w:bookmarkEnd w:id="5"/>
    </w:p>
    <w:p>
      <w:pPr>
        <w:pStyle w:val="BodyText"/>
        <w:spacing w:before="0" w:after="159"/>
        <w:rPr/>
      </w:pPr>
      <w:r>
        <w:rPr/>
        <w:t>Полный исходный код приложения:</w:t>
      </w:r>
      <w:bookmarkStart w:id="6" w:name="__RefHeading___Toc524_1614521587_Копия_2"/>
      <w:bookmarkEnd w:id="6"/>
      <w:r>
        <w:rPr/>
        <w:t xml:space="preserve"> </w:t>
      </w:r>
      <w:hyperlink r:id="rId2">
        <w:r>
          <w:rPr>
            <w:rStyle w:val="Hyperlink"/>
          </w:rPr>
          <w:t>https://github.com/vvlaads/Image-Processing-1</w:t>
        </w:r>
      </w:hyperlink>
      <w:hyperlink r:id="rId3">
        <w:r>
          <w:rPr/>
          <w:t>.</w:t>
        </w:r>
      </w:hyperlink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7" w:name="__RefHeading___Toc522_1614521587_Копия_1"/>
      <w:bookmarkStart w:id="8" w:name="_Toc213488756_Копия_1"/>
      <w:bookmarkEnd w:id="7"/>
      <w:r>
        <w:rPr>
          <w:rFonts w:eastAsia="Times New Roman" w:cs="Times New Roman"/>
          <w:bCs/>
          <w:color w:val="auto"/>
        </w:rPr>
        <w:t>П</w:t>
      </w:r>
      <w:bookmarkEnd w:id="8"/>
      <w:r>
        <w:rPr>
          <w:rFonts w:eastAsia="Times New Roman" w:cs="Times New Roman"/>
          <w:bCs/>
          <w:color w:val="auto"/>
        </w:rPr>
        <w:t>ример входных данных и результаты</w:t>
      </w:r>
    </w:p>
    <w:p>
      <w:pPr>
        <w:pStyle w:val="BodyText"/>
        <w:spacing w:before="0" w:after="159"/>
        <w:rPr/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251960" cy="4236085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960" cy="42360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251960" cy="3863340"/>
                                  <wp:effectExtent l="0" t="0" r="0" b="0"/>
                                  <wp:docPr id="5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51960" cy="3863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Пример входных данных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34.8pt;height:333.55pt;mso-wrap-distance-left:0pt;mso-wrap-distance-right:0pt;mso-wrap-distance-top:0pt;mso-wrap-distance-bottom:0pt;margin-top:0pt;mso-position-vertical:top;mso-position-vertical-relative:text;margin-left:66.45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251960" cy="3863340"/>
                            <wp:effectExtent l="0" t="0" r="0" b="0"/>
                            <wp:docPr id="6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51960" cy="3863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Пример входных данных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843020"/>
                <wp:effectExtent l="0" t="0" r="0" b="0"/>
                <wp:wrapSquare wrapText="largest"/>
                <wp:docPr id="7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8430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3470275"/>
                                  <wp:effectExtent l="0" t="0" r="0" b="0"/>
                                  <wp:docPr id="8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3470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Вывод программы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302.6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3470275"/>
                            <wp:effectExtent l="0" t="0" r="0" b="0"/>
                            <wp:docPr id="9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3470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Вывод программы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9" w:name="__RefHeading___Toc644_3412834385"/>
      <w:bookmarkStart w:id="10" w:name="_Toc213488761"/>
      <w:bookmarkStart w:id="11" w:name="_Toc146616696"/>
      <w:bookmarkEnd w:id="9"/>
      <w:r>
        <w:rPr>
          <w:rFonts w:eastAsia="Times New Roman" w:cs="Times New Roman"/>
          <w:bCs/>
          <w:color w:val="auto"/>
        </w:rPr>
        <w:t>В</w:t>
      </w:r>
      <w:bookmarkEnd w:id="11"/>
      <w:r>
        <w:rPr>
          <w:rFonts w:eastAsia="Times New Roman" w:cs="Times New Roman"/>
          <w:bCs/>
          <w:color w:val="auto"/>
        </w:rPr>
        <w:t>ыводы</w:t>
      </w:r>
      <w:bookmarkEnd w:id="10"/>
    </w:p>
    <w:p>
      <w:pPr>
        <w:pStyle w:val="Normal"/>
        <w:spacing w:lineRule="auto" w:line="360"/>
        <w:ind w:firstLine="709"/>
        <w:jc w:val="both"/>
        <w:rPr/>
      </w:pPr>
      <w:r>
        <w:rPr>
          <w:rFonts w:eastAsia="Times New Roman" w:cs="Times New Roman"/>
          <w:szCs w:val="28"/>
        </w:rPr>
        <w:t>В данной работе был изучен и реализован алгоритм вычисления яркости точки на плоскости с учетом освещенности от нескольких источников света. Используя заданные входные данные, программа корректно вычисляет значения освещенности и яркости для различных точек плоскости, учитывая направленность света и свойства поверхности.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2" w:name="__RefHeading___Toc644_3412834385_Копия_1"/>
      <w:bookmarkStart w:id="13" w:name="_Toc213488761_Копия_1"/>
      <w:bookmarkEnd w:id="12"/>
      <w:r>
        <w:rPr>
          <w:rFonts w:eastAsia="Times New Roman" w:cs="Times New Roman"/>
          <w:bCs/>
          <w:color w:val="auto"/>
        </w:rPr>
        <w:t>И</w:t>
      </w:r>
      <w:bookmarkEnd w:id="13"/>
      <w:r>
        <w:rPr>
          <w:rFonts w:eastAsia="Times New Roman" w:cs="Times New Roman"/>
          <w:bCs/>
          <w:color w:val="auto"/>
        </w:rPr>
        <w:t>спользуемая литература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/>
      </w:pPr>
      <w:r>
        <w:rPr>
          <w:rFonts w:eastAsia="Times New Roman" w:cs="Times New Roman"/>
          <w:szCs w:val="28"/>
        </w:rPr>
        <w:t xml:space="preserve">Д. Д. Жданов, И. С. Потемин, А. Д. Жданов "Теоретические основы компьютерной графики и вычислительной оптики" учебно-методическое пособие ИТМО 2023 </w:t>
      </w:r>
      <w:hyperlink r:id="rId9">
        <w:r>
          <w:rPr>
            <w:rStyle w:val="Hyperlink"/>
            <w:rFonts w:eastAsia="Times New Roman" w:cs="Times New Roman"/>
            <w:szCs w:val="28"/>
          </w:rPr>
          <w:t>https://books.ifmo.ru/file/pdf/3281.pdf</w:t>
        </w:r>
      </w:hyperlink>
    </w:p>
    <w:p>
      <w:pPr>
        <w:pStyle w:val="Normal"/>
        <w:numPr>
          <w:ilvl w:val="0"/>
          <w:numId w:val="4"/>
        </w:numPr>
        <w:spacing w:lineRule="auto" w:line="360" w:before="0" w:after="160"/>
        <w:jc w:val="both"/>
        <w:rPr/>
      </w:pPr>
      <w:r>
        <w:rPr>
          <w:rFonts w:eastAsia="Times New Roman" w:cs="Times New Roman"/>
          <w:szCs w:val="28"/>
        </w:rPr>
        <w:t xml:space="preserve">Д. Д. Жданов, И. С. Потемин, А. Д. Жданов "Методы расчёта глобальной освещённости" учебно-методическое пособие ИТМО 2023 </w:t>
      </w:r>
      <w:hyperlink r:id="rId10">
        <w:r>
          <w:rPr>
            <w:rStyle w:val="Hyperlink"/>
            <w:rFonts w:eastAsia="Times New Roman" w:cs="Times New Roman"/>
            <w:szCs w:val="28"/>
          </w:rPr>
          <w:t>https://books.ifmo.ru/file/pdf/3275.pdf</w:t>
        </w:r>
      </w:hyperlink>
      <w:hyperlink r:id="rId11">
        <w:r>
          <w:rPr>
            <w:rFonts w:eastAsia="Times New Roman" w:cs="Times New Roman"/>
            <w:szCs w:val="28"/>
          </w:rPr>
          <w:br/>
        </w:r>
      </w:hyperlink>
    </w:p>
    <w:sectPr>
      <w:headerReference w:type="default" r:id="rId12"/>
      <w:headerReference w:type="first" r:id="rId13"/>
      <w:footerReference w:type="default" r:id="rId14"/>
      <w:footerReference w:type="first" r:id="rId15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10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1" w:customStyle="1">
    <w:name w:val="index heading11"/>
    <w:basedOn w:val="Title"/>
    <w:qFormat/>
    <w:pPr/>
    <w:rPr/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1" w:customStyle="1">
    <w:name w:val="index heading1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Style20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 w:customStyle="1">
    <w:name w:val="index heading2"/>
    <w:basedOn w:val="Title"/>
    <w:qFormat/>
    <w:pPr/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1" w:customStyle="1">
    <w:name w:val="Рисунок"/>
    <w:basedOn w:val="Caption1111"/>
    <w:qFormat/>
    <w:pPr/>
    <w:rPr>
      <w:i w:val="false"/>
      <w:iCs w:val="false"/>
      <w:sz w:val="28"/>
      <w:szCs w:val="28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Style23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4" w:customStyle="1">
    <w:name w:val="Заголовок таблицы"/>
    <w:basedOn w:val="Style23"/>
    <w:qFormat/>
    <w:pPr>
      <w:jc w:val="center"/>
    </w:pPr>
    <w:rPr>
      <w:b/>
      <w:bCs/>
    </w:rPr>
  </w:style>
  <w:style w:type="paragraph" w:styleId="Style25" w:customStyle="1">
    <w:name w:val="Фигура"/>
    <w:basedOn w:val="Caption1111"/>
    <w:qFormat/>
    <w:pPr/>
    <w:rPr/>
  </w:style>
  <w:style w:type="paragraph" w:styleId="Style26" w:customStyle="1">
    <w:name w:val="График"/>
    <w:basedOn w:val="Caption1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27" w:customStyle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vvlaads/Image-Processing-1" TargetMode="External"/><Relationship Id="rId3" Type="http://schemas.openxmlformats.org/officeDocument/2006/relationships/hyperlink" Target="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hyperlink" Target="https://books.ifmo.ru/file/pdf/3281.pdf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https://books.ifmo.ru/file/pdf/3275.pdf" TargetMode="External"/><Relationship Id="rId11" Type="http://schemas.openxmlformats.org/officeDocument/2006/relationships/hyperlink" Target="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8431</TotalTime>
  <Application>LibreOffice/7.6.2.1$Windows_X86_64 LibreOffice_project/56f7684011345957bbf33a7ee678afaf4d2ba333</Application>
  <AppVersion>15.0000</AppVersion>
  <Pages>10</Pages>
  <Words>385</Words>
  <Characters>2654</Characters>
  <CharactersWithSpaces>3014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2026-03-02T11:00:50Z</cp:lastPrinted>
  <dcterms:modified xsi:type="dcterms:W3CDTF">2026-03-02T11:37:32Z</dcterms:modified>
  <cp:revision>1482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