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992120" cy="254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2.05pt;width:235.55pt;height:1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102"/>
        <w:gridCol w:w="5102"/>
      </w:tblGrid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kern w:val="0"/>
                <w:u w:val="none"/>
                <w:lang w:val="ru-RU" w:eastAsia="ru-RU" w:bidi="ar-SA"/>
              </w:rPr>
              <w:t>Группа</w:t>
              <w:tab/>
              <w:t xml:space="preserve">   </w:t>
            </w:r>
            <w:r>
              <w:rPr>
                <w:rFonts w:eastAsia="Times New Roman"/>
                <w:kern w:val="0"/>
                <w:u w:val="none"/>
                <w:lang w:val="en-US" w:eastAsia="ru-RU" w:bidi="ar-SA"/>
              </w:rPr>
              <w:t>P3214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kern w:val="0"/>
                <w:u w:val="none"/>
                <w:lang w:val="ru-RU" w:eastAsia="ru-RU" w:bidi="ar-SA"/>
              </w:rPr>
              <w:t>К работе допущен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kern w:val="0"/>
                <w:u w:val="none"/>
                <w:lang w:val="ru-RU" w:eastAsia="ru-RU" w:bidi="ar-SA"/>
              </w:rPr>
              <w:t>Студент    Силинцев Владислав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kern w:val="0"/>
                <w:u w:val="none"/>
                <w:lang w:val="ru-RU" w:eastAsia="ru-RU" w:bidi="ar-SA"/>
              </w:rPr>
              <w:t>Работа выполнена</w:t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kern w:val="0"/>
                <w:u w:val="none"/>
                <w:lang w:val="ru-RU" w:eastAsia="ru-RU" w:bidi="ar-SA"/>
              </w:rPr>
              <w:t>Преподаватель    Хвастунов Н.Н.</w:t>
            </w: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before="240" w:after="0"/>
              <w:jc w:val="left"/>
              <w:rPr>
                <w:rFonts w:eastAsia="Times New Roman"/>
                <w:kern w:val="0"/>
                <w:u w:val="none"/>
                <w:lang w:val="ru-RU" w:eastAsia="ru-RU" w:bidi="ar-SA"/>
              </w:rPr>
            </w:pPr>
            <w:r>
              <w:rPr>
                <w:rFonts w:eastAsia="Times New Roman"/>
                <w:kern w:val="0"/>
                <w:u w:val="none"/>
                <w:lang w:val="ru-RU" w:eastAsia="ru-RU" w:bidi="ar-SA"/>
              </w:rPr>
              <w:t>Отчет принят</w:t>
            </w:r>
          </w:p>
        </w:tc>
      </w:tr>
    </w:tbl>
    <w:p>
      <w:pPr>
        <w:pStyle w:val="Normal"/>
        <w:spacing w:before="240" w:after="240"/>
        <w:jc w:val="center"/>
        <w:rPr>
          <w:rFonts w:ascii="Cambria" w:hAnsi="Cambria"/>
        </w:rPr>
      </w:pPr>
      <w:r>
        <w:rPr>
          <w:rFonts w:cs="Times New Roman" w:ascii="Cambria" w:hAnsi="Cambria"/>
          <w:b/>
          <w:spacing w:val="30"/>
          <w:sz w:val="40"/>
          <w:szCs w:val="36"/>
        </w:rPr>
        <w:t>Рабочий протокол и отчет по</w:t>
        <w:br/>
        <w:t>лабораторной работе №03.13</w:t>
      </w:r>
    </w:p>
    <w:p>
      <w:pPr>
        <w:pStyle w:val="Normal"/>
        <w:jc w:val="center"/>
        <w:rPr>
          <w:rFonts w:ascii="Arial" w:hAnsi="Arial"/>
          <w:b w:val="false"/>
          <w:bCs w:val="false"/>
          <w:sz w:val="40"/>
          <w:szCs w:val="40"/>
          <w:u w:val="none"/>
        </w:rPr>
      </w:pPr>
      <w:r>
        <w:rPr>
          <w:rFonts w:cs="Times New Roman"/>
          <w:b w:val="false"/>
          <w:bCs w:val="false"/>
          <w:spacing w:val="30"/>
          <w:sz w:val="40"/>
          <w:szCs w:val="40"/>
          <w:u w:val="none"/>
          <w:lang w:val="ru-RU"/>
        </w:rPr>
        <w:t>Магнитное поле Земли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1. Цель работы.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Провести измерения направления суммарного магнитного поля, создаваемого Землей и системой катушек Гельмгольца.</w:t>
      </w:r>
    </w:p>
    <w:p>
      <w:pPr>
        <w:pStyle w:val="Normal"/>
        <w:numPr>
          <w:ilvl w:val="0"/>
          <w:numId w:val="2"/>
        </w:numPr>
        <w:spacing w:lineRule="auto" w:line="360" w:before="0" w:after="159"/>
        <w:rPr/>
      </w:pPr>
      <w:r>
        <w:rPr/>
        <w:t>Определить горизонтальную составляющую магнитного поля Земли.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2. Задачи, решаемые при выполнении работы.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  <w:t>Измерить значения силы тока, при которых магнитная стрелка компаса отклоняется на заданное количество градусов.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  <w:t>Измерить значение горизонтальной составляющей вектора магнитной индукции Земли.</w:t>
      </w:r>
    </w:p>
    <w:p>
      <w:pPr>
        <w:pStyle w:val="Normal"/>
        <w:numPr>
          <w:ilvl w:val="0"/>
          <w:numId w:val="3"/>
        </w:numPr>
        <w:spacing w:lineRule="auto" w:line="360" w:before="0" w:after="159"/>
        <w:rPr/>
      </w:pPr>
      <w:r>
        <w:rPr/>
        <w:t>Сравнить полученное значение с табличным.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3. Объект исследования.</w:t>
      </w:r>
    </w:p>
    <w:p>
      <w:pPr>
        <w:pStyle w:val="Normal"/>
        <w:spacing w:lineRule="auto" w:line="360" w:before="0" w:after="159"/>
        <w:rPr/>
      </w:pPr>
      <w:r>
        <w:rPr/>
        <w:t>Магнитное поле Земли</w:t>
      </w:r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4. Метод экспериментального исследования.</w:t>
      </w:r>
    </w:p>
    <w:p>
      <w:pPr>
        <w:pStyle w:val="Normal"/>
        <w:spacing w:lineRule="auto" w:line="360" w:before="0" w:after="159"/>
        <w:rPr/>
      </w:pPr>
      <w:r>
        <w:rPr/>
        <w:t>Исследование магнитного поля Земли с использованием компаса и катушек Гельмгольца.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  <w:r>
        <w:br w:type="page"/>
      </w:r>
    </w:p>
    <w:p>
      <w:pPr>
        <w:pStyle w:val="Normal"/>
        <w:spacing w:lineRule="auto" w:line="360" w:before="0" w:after="159"/>
        <w:rPr/>
      </w:pPr>
      <w:r>
        <w:rPr/>
        <w:t>5. Рабочие формулы и исходные данные.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lang w:val="ru-RU"/>
        </w:rPr>
        <w:t xml:space="preserve"> – </w:t>
      </w:r>
      <w:r>
        <w:rPr>
          <w:lang w:val="ru-RU"/>
        </w:rPr>
        <w:t>среднее значение силы тока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f>
          <m:num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/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величина магнитного поля катушек Гельмгольца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,15</m:t>
        </m:r>
        <m:r>
          <w:rPr>
            <w:rFonts w:ascii="Cambria Math" w:hAnsi="Cambria Math"/>
          </w:rPr>
          <m:t xml:space="preserve">м</m:t>
        </m:r>
      </m:oMath>
      <w:r>
        <w:rPr>
          <w:lang w:val="ru-RU"/>
        </w:rPr>
        <w:t xml:space="preserve"> – </w:t>
      </w:r>
      <w:r>
        <w:rPr>
          <w:lang w:val="ru-RU"/>
        </w:rPr>
        <w:t>радиус катушек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  <w:r>
        <w:rPr>
          <w:lang w:val="ru-RU"/>
        </w:rPr>
        <w:t xml:space="preserve"> – </w:t>
      </w:r>
      <w:r>
        <w:rPr>
          <w:lang w:val="ru-RU"/>
        </w:rPr>
        <w:t>число витков в каждой из катушек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φ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 – </w:t>
      </w:r>
      <w:r>
        <w:rPr>
          <w:lang w:val="ru-RU"/>
        </w:rPr>
        <w:t xml:space="preserve">значение коэффициента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160</m:t>
        </m:r>
        <m:r>
          <w:rPr>
            <w:rFonts w:ascii="Cambria Math" w:hAnsi="Cambria Math"/>
          </w:rPr>
          <m:t xml:space="preserve">°</m:t>
        </m:r>
      </m:oMath>
      <w:r>
        <w:rPr>
          <w:lang w:val="ru-RU"/>
        </w:rPr>
        <w:t xml:space="preserve"> – </w:t>
      </w:r>
      <w:r>
        <w:rPr>
          <w:lang w:val="ru-RU"/>
        </w:rPr>
        <w:t>угол между вектором магнитного поля катушек и направлением магнитной стрелки компаса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γ</m:t>
        </m:r>
      </m:oMath>
      <w:r>
        <w:rPr>
          <w:lang w:val="ru-RU"/>
        </w:rPr>
        <w:t xml:space="preserve"> – </w:t>
      </w:r>
      <w:r>
        <w:rPr>
          <w:lang w:val="az-Cyrl-AZ"/>
        </w:rPr>
        <w:t>магнитная индукция катушек Гельмгольца через магнитную индукцию Земли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</m:oMath>
      <w:r>
        <w:rPr>
          <w:lang w:val="ru-RU"/>
        </w:rPr>
        <w:t xml:space="preserve"> – </w:t>
      </w:r>
      <w:r>
        <w:rPr>
          <w:lang w:val="ru-RU"/>
        </w:rPr>
        <w:t>расчет углового коэффициента методом наименьших квадратов, если прямая проходит через начало координат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 xml:space="preserve">⋅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lang w:val="ru-RU"/>
        </w:rPr>
        <w:t xml:space="preserve"> – </w:t>
      </w:r>
      <w:r>
        <w:rPr>
          <w:lang w:val="ru-RU"/>
        </w:rPr>
        <w:t>расчет СКО углового коэффициента методом наименьших квадратов, если прямая проходит через начало координат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lang w:val="ru-RU"/>
        </w:rPr>
        <w:t xml:space="preserve"> – </w:t>
      </w:r>
      <w:r>
        <w:rPr>
          <w:lang w:val="ru-RU"/>
        </w:rPr>
        <w:t xml:space="preserve">значение параметра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lang w:val="ru-RU"/>
        </w:rPr>
        <w:t>, если прямая проходит через начало координат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59"/>
        <w:rPr/>
      </w:pP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±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lang w:val="ru-RU"/>
        </w:rPr>
        <w:t xml:space="preserve"> – </w:t>
      </w:r>
      <w:r>
        <w:rPr>
          <w:lang w:val="ru-RU"/>
        </w:rPr>
        <w:t xml:space="preserve">доверительный интервал для углового коэффициента, где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,2</m:t>
        </m:r>
      </m:oMath>
      <w:r>
        <w:rPr>
          <w:lang w:val="ru-RU"/>
        </w:rPr>
        <w:t xml:space="preserve">, при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,95</m:t>
        </m:r>
      </m:oMath>
      <w:r>
        <w:rPr>
          <w:lang w:val="ru-RU"/>
        </w:rPr>
        <w:t xml:space="preserve"> и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</m:oMath>
      <w:r>
        <w:rPr>
          <w:lang w:val="ru-RU"/>
        </w:rPr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</w:r>
      <w:r>
        <w:br w:type="page"/>
      </w:r>
    </w:p>
    <w:p>
      <w:pPr>
        <w:pStyle w:val="Normal"/>
        <w:spacing w:lineRule="auto" w:line="360" w:before="0" w:after="159"/>
        <w:rPr/>
      </w:pPr>
      <w:r>
        <w:rPr/>
        <w:t>6. Измерительные приборы.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784"/>
        <w:gridCol w:w="3721"/>
        <w:gridCol w:w="1642"/>
        <w:gridCol w:w="2029"/>
        <w:gridCol w:w="2029"/>
      </w:tblGrid>
      <w:tr>
        <w:trPr>
          <w:trHeight w:val="20" w:hRule="atLeast"/>
          <w:cantSplit w:val="true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 xml:space="preserve">№ </w:t>
            </w:r>
            <w:r>
              <w:rPr>
                <w:i w:val="false"/>
                <w:iCs w:val="false"/>
                <w:sz w:val="24"/>
                <w:szCs w:val="24"/>
              </w:rPr>
              <w:t>п/п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0" w:name="_Toc154745610"/>
            <w:bookmarkStart w:id="1" w:name="_Toc154745494"/>
            <w:r>
              <w:rPr>
                <w:i w:val="false"/>
                <w:iCs w:val="false"/>
                <w:sz w:val="24"/>
                <w:szCs w:val="24"/>
              </w:rPr>
              <w:t>Наименование</w:t>
            </w:r>
            <w:bookmarkEnd w:id="0"/>
            <w:bookmarkEnd w:id="1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Тип прибора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Используемый</w:t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Погрешность</w:t>
              <w:br/>
              <w:t>прибора</w:t>
            </w:r>
          </w:p>
        </w:tc>
      </w:tr>
      <w:tr>
        <w:trPr>
          <w:trHeight w:val="20" w:hRule="atLeast"/>
          <w:cantSplit w:val="true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1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Амперметр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Цифровой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0-1 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1 мА</w:t>
            </w:r>
          </w:p>
        </w:tc>
      </w:tr>
      <w:tr>
        <w:trPr>
          <w:trHeight w:val="20" w:hRule="atLeast"/>
          <w:cantSplit w:val="true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Компас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Магнитный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0-360</w:t>
            </w:r>
            <w:r>
              <w:rPr>
                <w:rFonts w:ascii="Liberation Mono" w:hAnsi="Liberation Mono"/>
                <w:b w:val="false"/>
                <w:i w:val="false"/>
                <w:sz w:val="21"/>
              </w:rPr>
              <w:t>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1</w:t>
            </w:r>
            <w:r>
              <w:rPr>
                <w:rFonts w:ascii="Liberation Mono" w:hAnsi="Liberation Mono"/>
                <w:b w:val="false"/>
                <w:i w:val="false"/>
                <w:sz w:val="21"/>
              </w:rPr>
              <w:t>°</w:t>
            </w:r>
          </w:p>
        </w:tc>
      </w:tr>
    </w:tbl>
    <w:p>
      <w:pPr>
        <w:pStyle w:val="Normal"/>
        <w:pageBreakBefore w:val="false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7. Схема установки (</w:t>
      </w:r>
      <w:r>
        <w:rPr>
          <w:i/>
        </w:rPr>
        <w:t>перечень схем, которые составляют Приложение 1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8. Результаты прямых измерений и их обработки (</w:t>
      </w:r>
      <w:r>
        <w:rPr>
          <w:i/>
        </w:rPr>
        <w:t>таблицы, примеры расчетов</w:t>
      </w:r>
      <w:r>
        <w:rPr/>
        <w:t>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7"/>
        <w:gridCol w:w="1458"/>
        <w:gridCol w:w="1458"/>
        <w:gridCol w:w="1457"/>
        <w:gridCol w:w="1458"/>
        <w:gridCol w:w="1"/>
        <w:gridCol w:w="1457"/>
        <w:gridCol w:w="1"/>
        <w:gridCol w:w="1457"/>
      </w:tblGrid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φ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160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58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Ток в катушках,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мА</m:t>
              </m:r>
            </m:oMath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oMath>
            </m:oMathPara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φ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мкТл</m:t>
                </m:r>
              </m:oMath>
            </m:oMathPara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14,67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3473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8,7919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67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0,5321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13,5876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22,33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0,6527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13,3877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40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24,33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0,7422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14,5866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28,33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0,8152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16,9844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60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31,67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0,8794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18,9826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70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35,33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0,9397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21,1806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80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37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22,1797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90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38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1,0642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22,7791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41,67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1,1372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24,9771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110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44,67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1,2267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26,7755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120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47,33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1,3473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28,3740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130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55,33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1,5321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33,1696</w:t>
            </w:r>
          </w:p>
        </w:tc>
      </w:tr>
      <w:tr>
        <w:trPr/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140</m:t>
                </m:r>
                <m:r>
                  <w:rPr>
                    <w:rFonts w:ascii="Cambria Math" w:hAnsi="Cambria Math"/>
                  </w:rPr>
                  <m:t xml:space="preserve">°</m:t>
                </m:r>
              </m:oMath>
            </m:oMathPara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14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66</w:t>
            </w:r>
          </w:p>
        </w:tc>
        <w:tc>
          <w:tcPr>
            <w:tcW w:w="1458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1,8794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jc w:val="center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39,5638</w:t>
            </w:r>
          </w:p>
        </w:tc>
      </w:tr>
    </w:tbl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  <w:r>
        <w:rPr/>
      </w:r>
      <m:oMath xmlns:m="http://schemas.openxmlformats.org/officeDocument/2006/math">
        <m:d>
          <m:dPr>
            <m:begChr m:val="⟨"/>
            <m:endChr m:val="⟩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,67</m:t>
        </m:r>
        <m:r>
          <w:rPr>
            <w:rFonts w:ascii="Cambria Math" w:hAnsi="Cambria Math"/>
          </w:rPr>
          <m:t xml:space="preserve">мА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f>
          <m:num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sup>
        </m:sSup>
        <m:r>
          <w:rPr>
            <w:rFonts w:ascii="Cambria Math" w:hAnsi="Cambria Math"/>
          </w:rPr>
          <m:t xml:space="preserve">⋅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,67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100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,15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8,7919</m:t>
        </m:r>
        <m:r>
          <w:rPr>
            <w:rFonts w:ascii="Cambria Math" w:hAnsi="Cambria Math"/>
          </w:rPr>
          <m:t xml:space="preserve">мкТл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  <w:t xml:space="preserve">Пример вычислений: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φ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160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0,3473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9. Расчет результатов косвенных измерений (</w:t>
      </w:r>
      <w:r>
        <w:rPr>
          <w:i/>
        </w:rPr>
        <w:t>таблицы, примеры расчетов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Найдем магнитную индукцию Земли </w:t>
      </w:r>
      <w:r>
        <w:rPr>
          <w:lang w:val="ru-RU"/>
        </w:rPr>
        <w:t>методом наименьших квадратов</w:t>
      </w:r>
      <w:r>
        <w:rPr/>
        <w:t xml:space="preserve">, учитывая зависимость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γ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21,5209</m:t>
        </m:r>
        <m:r>
          <w:rPr>
            <w:rFonts w:ascii="Cambria Math" w:hAnsi="Cambria Math"/>
          </w:rPr>
          <m:t xml:space="preserve">мкТл</m:t>
        </m:r>
      </m:oMath>
      <w:r>
        <w:rPr/>
        <w:t>.</w:t>
      </w:r>
    </w:p>
    <w:p>
      <w:pPr>
        <w:pStyle w:val="Normal"/>
        <w:pageBreakBefore w:val="false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10. Расчет погрешностей измерений (</w:t>
      </w:r>
      <w:r>
        <w:rPr>
          <w:i/>
        </w:rPr>
        <w:t>для прямых и косвенных измерений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 </w:t>
      </w:r>
      <w:r>
        <w:rPr/>
        <w:t xml:space="preserve">Вычислим СКО: </w:t>
      </w:r>
      <w:r>
        <w:rPr/>
      </w:r>
      <m:oMath xmlns:m="http://schemas.openxmlformats.org/officeDocument/2006/math">
        <m:sSup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 xml:space="preserve">⋅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γ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. Тогда </w:t>
      </w:r>
      <w:r>
        <w:rPr/>
      </w:r>
      <m:oMath xmlns:m="http://schemas.openxmlformats.org/officeDocument/2006/math">
        <m:sSup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0,0563</m:t>
        </m:r>
        <m:sSup>
          <m:e>
            <m:r>
              <w:rPr>
                <w:rFonts w:ascii="Cambria Math" w:hAnsi="Cambria Math"/>
              </w:rPr>
              <m:t xml:space="preserve">мкТл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. Вычислим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,2</m:t>
        </m:r>
        <m:r>
          <w:rPr>
            <w:rFonts w:ascii="Cambria Math" w:hAnsi="Cambria Math"/>
          </w:rPr>
          <m:t xml:space="preserve">⋅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0,0563</m:t>
            </m:r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0,522</m:t>
        </m:r>
        <m:r>
          <w:rPr>
            <w:rFonts w:ascii="Cambria Math" w:hAnsi="Cambria Math"/>
          </w:rPr>
          <m:t xml:space="preserve">мкТл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11. Графики (</w:t>
      </w:r>
      <w:r>
        <w:rPr>
          <w:i/>
        </w:rPr>
        <w:t>перечень графиков, которые составляют Приложение 2</w:t>
      </w:r>
      <w:r>
        <w:rPr/>
        <w:t>).</w:t>
      </w:r>
    </w:p>
    <w:p>
      <w:pPr>
        <w:pStyle w:val="Normal"/>
        <w:spacing w:lineRule="auto" w:line="360" w:before="0" w:after="159"/>
        <w:rPr/>
      </w:pPr>
      <w:r>
        <w:rPr/>
        <w:t xml:space="preserve">График 1: </w:t>
      </w:r>
      <w:r>
        <w:rPr>
          <w:i w:val="false"/>
          <w:iCs w:val="false"/>
        </w:rPr>
        <w:t xml:space="preserve">Зависимость </w:t>
      </w:r>
      <w:r>
        <w:rPr>
          <w:i w:val="false"/>
          <w:i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γ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i w:val="false"/>
          <w:iCs w:val="false"/>
        </w:rPr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12. Окончательные результаты.</w:t>
      </w:r>
    </w:p>
    <w:p>
      <w:pPr>
        <w:pStyle w:val="Normal"/>
        <w:spacing w:lineRule="auto" w:line="360" w:before="0" w:after="159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мкТл</m:t>
        </m:r>
      </m:oMath>
      <w:r>
        <w:rPr/>
        <w:t>.</w:t>
      </w:r>
    </w:p>
    <w:p>
      <w:pPr>
        <w:pStyle w:val="Normal"/>
        <w:spacing w:lineRule="auto" w:line="360" w:before="0" w:after="159"/>
        <w:rPr/>
      </w:pPr>
      <w:r>
        <w:rPr/>
      </w:r>
    </w:p>
    <w:p>
      <w:pPr>
        <w:pStyle w:val="Normal"/>
        <w:spacing w:lineRule="auto" w:line="360" w:before="0" w:after="159"/>
        <w:rPr/>
      </w:pPr>
      <w:r>
        <w:rPr/>
        <w:t>13. Выводы и анализ результатов работы.</w:t>
      </w:r>
    </w:p>
    <w:p>
      <w:pPr>
        <w:pStyle w:val="Normal"/>
        <w:spacing w:lineRule="auto" w:line="360" w:before="0" w:after="159"/>
        <w:rPr/>
      </w:pPr>
      <w:r>
        <w:rPr/>
        <w:t xml:space="preserve">В ходе этой работы я </w:t>
      </w:r>
      <w:r>
        <w:rPr>
          <w:lang w:val="ru-RU"/>
        </w:rPr>
        <w:t xml:space="preserve">исследовал магнитное поле Земли. Полученное значение горизонтальной составляющей магнитной индукции Земли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,5</m:t>
        </m:r>
        <m:r>
          <w:rPr>
            <w:rFonts w:ascii="Cambria Math" w:hAnsi="Cambria Math"/>
          </w:rPr>
          <m:t xml:space="preserve">мкТл</m:t>
        </m:r>
      </m:oMath>
      <w:r>
        <w:rPr>
          <w:lang w:val="ru-RU"/>
        </w:rPr>
        <w:t xml:space="preserve">. Значение, полученное с помощью IGRF-14 в Санкт-Петербурге примерно равно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14</m:t>
        </m:r>
        <m:r>
          <w:rPr>
            <w:rFonts w:ascii="Cambria Math" w:hAnsi="Cambria Math"/>
          </w:rPr>
          <m:t xml:space="preserve">,8</m:t>
        </m:r>
        <m:r>
          <w:rPr>
            <w:rFonts w:ascii="Cambria Math" w:hAnsi="Cambria Math"/>
          </w:rPr>
          <m:t xml:space="preserve">мкТл</m:t>
        </m:r>
      </m:oMath>
      <w:r>
        <w:rPr>
          <w:lang w:val="ru-RU"/>
        </w:rPr>
        <w:t>, что хоть и близко к полученному значению, но имеет большую погрешность и не принадлежит доверительному интервалу.</w:t>
      </w:r>
    </w:p>
    <w:p>
      <w:pPr>
        <w:pStyle w:val="Normal"/>
        <w:spacing w:lineRule="auto" w:line="360" w:before="0" w:after="159"/>
        <w:rPr/>
      </w:pPr>
      <w:r>
        <w:rPr>
          <w:lang w:val="ru-RU"/>
        </w:rPr>
        <w:t xml:space="preserve">Ссылка на источник:  </w:t>
      </w:r>
      <w:hyperlink r:id="rId2">
        <w:r>
          <w:rPr>
            <w:rStyle w:val="Hyperlink"/>
            <w:lang w:val="ru-RU"/>
          </w:rPr>
          <w:t>http://serv.izmiran.ru/cgi-bin/igrf14_formgm.py</w:t>
        </w:r>
      </w:hyperlink>
      <w:r>
        <w:rPr>
          <w:lang w:val="ru-RU"/>
        </w:rPr>
        <w:t>.</w:t>
      </w:r>
      <w:r>
        <w:br w:type="page"/>
      </w:r>
    </w:p>
    <w:p>
      <w:pPr>
        <w:pStyle w:val="Normal"/>
        <w:spacing w:before="0" w:after="0"/>
        <w:rPr/>
      </w:pPr>
      <w:r>
        <w:rPr/>
        <w:t>14. Дополнительные задания.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Выполнение дополнительных заданий.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941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Замечания преподавателя (</w:t>
      </w:r>
      <w:r>
        <w:rPr>
          <w:i/>
        </w:rPr>
        <w:t>исправления, вызванные замечаниями преподавателя, также помещают в этот пункт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tabs>
          <w:tab w:val="clear" w:pos="284"/>
          <w:tab w:val="left" w:pos="1089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7"/>
        <w:tblW w:w="9497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99"/>
        <w:gridCol w:w="7797"/>
      </w:tblGrid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b/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Примечание: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Пункты 1-6,8-13 Протокола-отчета </w:t>
            </w:r>
            <w:r>
              <w:rPr>
                <w:rFonts w:eastAsia="Times New Roman"/>
                <w:b/>
                <w:i/>
                <w:kern w:val="0"/>
                <w:sz w:val="22"/>
                <w:szCs w:val="22"/>
                <w:lang w:val="ru-RU" w:eastAsia="ru-RU" w:bidi="ar-SA"/>
              </w:rPr>
              <w:t>обязательны</w:t>
            </w: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 xml:space="preserve"> для заполнения.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Необходимые исправления выполняют непосредственно в протоколе-отчете.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 ручном построении графиков рекомендуется использовать миллиметровую бумагу.</w:t>
            </w:r>
          </w:p>
        </w:tc>
      </w:tr>
      <w:tr>
        <w:trPr/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i/>
                <w:i/>
                <w:sz w:val="22"/>
                <w:szCs w:val="22"/>
              </w:rPr>
            </w:pPr>
            <w:r>
              <w:rPr>
                <w:rFonts w:eastAsia="Times New Roman"/>
                <w:i/>
                <w:kern w:val="0"/>
                <w:sz w:val="22"/>
                <w:szCs w:val="22"/>
                <w:lang w:val="ru-RU" w:eastAsia="ru-RU" w:bidi="ar-SA"/>
              </w:rPr>
              <w:t>Приложения 1 и 2 вкладывают в бланк протокола-отчета.</w:t>
            </w:r>
          </w:p>
        </w:tc>
      </w:tr>
    </w:tbl>
    <w:p>
      <w:pPr>
        <w:pStyle w:val="Normal"/>
        <w:spacing w:before="0" w:after="240"/>
        <w:jc w:val="center"/>
        <w:rPr>
          <w:rFonts w:ascii="Cambria" w:hAnsi="Cambria"/>
        </w:rPr>
      </w:pPr>
      <w:r>
        <w:rPr>
          <w:rFonts w:ascii="Cambria" w:hAnsi="Cambria"/>
          <w:b/>
          <w:spacing w:val="30"/>
          <w:sz w:val="40"/>
          <w:szCs w:val="36"/>
          <w:lang w:val="ru-RU"/>
        </w:rPr>
        <w:t>Приложение 2</w:t>
      </w:r>
    </w:p>
    <w:p>
      <w:pPr>
        <w:pStyle w:val="Normal"/>
        <w:spacing w:lineRule="auto" w:line="360" w:before="0" w:after="159"/>
        <w:jc w:val="left"/>
        <w:rPr>
          <w:b w:val="false"/>
          <w:bCs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4065" cy="3143250"/>
                <wp:effectExtent l="0" t="0" r="0" b="0"/>
                <wp:wrapSquare wrapText="largest"/>
                <wp:docPr id="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31432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584065" cy="279209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4065" cy="279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График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: Зависимость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</m:t>
                                  </m:r>
                                </m:sub>
                              </m:sSub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i w:val="false"/>
                                <w:iCs w:val="fals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0.95pt;height:247.5pt;mso-wrap-distance-left:0pt;mso-wrap-distance-right:0pt;mso-wrap-distance-top:0pt;mso-wrap-distance-bottom:0pt;margin-top:0pt;mso-position-vertical:top;mso-position-vertical-relative:text;margin-left:74.65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584065" cy="279209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4065" cy="279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График</w:t>
                      </w:r>
                      <w:r>
                        <w:rPr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: Зависимость </w:t>
                      </w:r>
                      <w:r>
                        <w:rPr>
                          <w:i w:val="false"/>
                          <w:iCs w:val="false"/>
                        </w:rPr>
                      </w:r>
                      <m:oMath xmlns:m="http://schemas.openxmlformats.org/officeDocument/2006/math"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i w:val="false"/>
                          <w:iCs w:val="false"/>
                        </w:rPr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first" r:id="rId5"/>
      <w:footerReference w:type="even" r:id="rId6"/>
      <w:footerReference w:type="default" r:id="rId7"/>
      <w:type w:val="nextPage"/>
      <w:pgSz w:w="11906" w:h="16838"/>
      <w:pgMar w:left="567" w:right="567" w:gutter="567" w:header="720" w:top="56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T San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236220" cy="173990"/>
              <wp:effectExtent l="0" t="0" r="0" b="0"/>
              <wp:wrapSquare wrapText="bothSides"/>
              <wp:docPr id="7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1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0pt;margin-top:0.05pt;width:18.55pt;height:13.65pt;mso-wrap-style:square;v-text-anchor:top;mso-position-horizontal:outside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7"/>
      <w:tblpPr w:vertAnchor="text" w:horzAnchor="text" w:tblpXSpec="center" w:leftFromText="181" w:rightFromText="181" w:tblpY="1"/>
      <w:tblOverlap w:val="never"/>
      <w:tblW w:w="1004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662"/>
      <w:gridCol w:w="3377"/>
    </w:tblGrid>
    <w:tr>
      <w:trPr/>
      <w:tc>
        <w:tcPr>
          <w:tcW w:w="66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Университет ИТМО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Физико-технический мегафакультет</w:t>
          </w:r>
        </w:p>
        <w:p>
          <w:pPr>
            <w:pStyle w:val="Header"/>
            <w:spacing w:before="0" w:after="0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eastAsia="Times New Roman" w:ascii="PT Sans" w:hAnsi="PT Sans"/>
              <w:b/>
              <w:kern w:val="0"/>
              <w:sz w:val="22"/>
              <w:szCs w:val="22"/>
              <w:lang w:val="ru-RU" w:eastAsia="ru-RU" w:bidi="ar-SA"/>
            </w:rPr>
            <w:t>Физический факультет</w:t>
          </w:r>
        </w:p>
      </w:tc>
      <w:tc>
        <w:tcPr>
          <w:tcW w:w="33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Header"/>
            <w:spacing w:before="0" w:after="0"/>
            <w:jc w:val="center"/>
            <w:rPr>
              <w:rFonts w:ascii="PT Sans" w:hAnsi="PT Sans"/>
              <w:b/>
              <w:sz w:val="20"/>
            </w:rPr>
          </w:pPr>
          <w:r>
            <w:rPr/>
            <w:drawing>
              <wp:inline distT="0" distB="0" distL="0" distR="0">
                <wp:extent cx="1818640" cy="499110"/>
                <wp:effectExtent l="0" t="0" r="0" b="0"/>
                <wp:docPr id="5" name="Рисунок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640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rFonts w:ascii="PT Sans" w:hAnsi="PT Sans"/>
        <w:b/>
        <w:sz w:val="8"/>
        <w:szCs w:val="16"/>
      </w:rPr>
    </w:pPr>
    <w:r>
      <w:rPr>
        <w:rFonts w:ascii="PT Sans" w:hAnsi="PT Sans"/>
        <w:b/>
        <w:sz w:val="8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szCs w:val="24"/>
        <w:w w:val="100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embedSystemFonts/>
  <w:defaultTabStop w:val="284"/>
  <w:autoHyphenation w:val="true"/>
  <w:doNotHyphenateCap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287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i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exact" w:line="420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 w:val="true"/>
      <w:spacing w:lineRule="exact" w:line="378" w:before="6" w:after="0"/>
      <w:ind w:right="-1438"/>
      <w:jc w:val="both"/>
      <w:outlineLvl w:val="1"/>
    </w:pPr>
    <w:rPr>
      <w:i/>
      <w:iCs w:val="false"/>
      <w:w w:val="77"/>
      <w:szCs w:val="29"/>
    </w:rPr>
  </w:style>
  <w:style w:type="paragraph" w:styleId="Heading3">
    <w:name w:val="Heading 3"/>
    <w:basedOn w:val="Normal"/>
    <w:next w:val="Normal"/>
    <w:qFormat/>
    <w:pPr>
      <w:keepNext w:val="true"/>
      <w:tabs>
        <w:tab w:val="clear" w:pos="284"/>
        <w:tab w:val="left" w:pos="1698" w:leader="underscore"/>
      </w:tabs>
      <w:spacing w:lineRule="exact" w:line="372"/>
      <w:ind w:right="-200"/>
      <w:outlineLvl w:val="2"/>
    </w:pPr>
    <w:rPr>
      <w:i/>
      <w:iCs w:val="false"/>
      <w:szCs w:val="29"/>
    </w:rPr>
  </w:style>
  <w:style w:type="paragraph" w:styleId="Heading4">
    <w:name w:val="Heading 4"/>
    <w:basedOn w:val="Normal"/>
    <w:next w:val="Normal"/>
    <w:qFormat/>
    <w:pPr>
      <w:keepNext w:val="true"/>
      <w:spacing w:lineRule="exact" w:line="192" w:before="30" w:after="552"/>
      <w:ind w:right="384"/>
      <w:outlineLvl w:val="3"/>
    </w:pPr>
    <w:rPr>
      <w:rFonts w:ascii="Times New Roman" w:hAnsi="Times New Roman" w:cs="Times New Roman"/>
      <w:b/>
      <w:bCs/>
      <w:i/>
      <w:iCs w:val="false"/>
      <w:spacing w:val="-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qFormat/>
    <w:rsid w:val="005a42ca"/>
    <w:rPr>
      <w:rFonts w:ascii="Tahoma" w:hAnsi="Tahoma" w:cs="Tahoma"/>
      <w:iCs/>
      <w:sz w:val="16"/>
      <w:szCs w:val="16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lockText">
    <w:name w:val="Block Text"/>
    <w:basedOn w:val="Normal"/>
    <w:qFormat/>
    <w:pPr>
      <w:widowControl/>
      <w:spacing w:lineRule="exact" w:line="274" w:before="5" w:after="0"/>
      <w:ind w:firstLine="535" w:left="5" w:right="14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BodyTextIndent3">
    <w:name w:val="Body Text Indent 3"/>
    <w:basedOn w:val="Normal"/>
    <w:qFormat/>
    <w:pPr>
      <w:widowControl/>
      <w:tabs>
        <w:tab w:val="clear" w:pos="284"/>
        <w:tab w:val="left" w:pos="1224" w:leader="none"/>
      </w:tabs>
      <w:spacing w:lineRule="exact" w:line="274"/>
      <w:ind w:firstLine="540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qFormat/>
    <w:rsid w:val="005a42ca"/>
    <w:pPr/>
    <w:rPr>
      <w:rFonts w:ascii="Tahoma" w:hAnsi="Tahoma" w:cs="Tahoma"/>
      <w:sz w:val="16"/>
      <w:szCs w:val="16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70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v.izmiran.ru/cgi-bin/igrf14_formgm.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LibreOffice/7.6.2.1$Windows_X86_64 LibreOffice_project/56f7684011345957bbf33a7ee678afaf4d2ba333</Application>
  <AppVersion>15.0000</AppVersion>
  <Pages>6</Pages>
  <Words>516</Words>
  <Characters>3226</Characters>
  <CharactersWithSpaces>3595</CharactersWithSpaces>
  <Paragraphs>188</Paragraphs>
  <Company>ГОУ СПбГПУ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2022-04-18T18:09:00Z</dcterms:created>
  <dc:creator>Кафедра экспериментальной физики СПбГПУ</dc:creator>
  <dc:description/>
  <dc:language>ru-RU</dc:language>
  <cp:lastModifiedBy/>
  <cp:lastPrinted>2023-02-24T17:59:00Z</cp:lastPrinted>
  <dcterms:modified xsi:type="dcterms:W3CDTF">2025-04-02T19:37:49Z</dcterms:modified>
  <cp:revision>178</cp:revision>
  <dc:subject/>
  <dc:title>Бланк рабочего протокола и отчета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