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AD92" w14:textId="584C67BB" w:rsidR="00A26560" w:rsidRDefault="007572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4545E" wp14:editId="30F2DF68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637020" cy="1404620"/>
                <wp:effectExtent l="0" t="0" r="11430" b="1397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B738" w14:textId="14B9D759" w:rsidR="007572BF" w:rsidRDefault="007572BF">
                            <w:r>
                              <w:t>Диаграмма 1. Усредненные значения сосновых и березовых опилок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34545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0pt;width:522.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">
                <v:textbox style="mso-fit-shape-to-text:t">
                  <w:txbxContent>
                    <w:p w14:paraId="15B3B738" w14:textId="14B9D759" w:rsidR="007572BF" w:rsidRDefault="007572BF">
                      <w:r>
                        <w:t>Диаграмма 1. Усредненные значения сосновых и березовых опилок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481ECA" wp14:editId="2AA307E8">
            <wp:extent cx="9251950" cy="3654425"/>
            <wp:effectExtent l="0" t="0" r="6350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3658BEA" w14:textId="1109E7BD" w:rsidR="000A5E35" w:rsidRPr="000A5E35" w:rsidRDefault="000A5E35" w:rsidP="000A5E35"/>
    <w:p w14:paraId="440BFC86" w14:textId="1AE389BB" w:rsidR="000A5E35" w:rsidRDefault="000A5E35" w:rsidP="000A5E35">
      <w:pPr>
        <w:rPr>
          <w:noProof/>
        </w:rPr>
      </w:pPr>
    </w:p>
    <w:p w14:paraId="262797BD" w14:textId="6979215B" w:rsidR="000A5E35" w:rsidRDefault="000A5E35" w:rsidP="000A5E35">
      <w:pPr>
        <w:tabs>
          <w:tab w:val="left" w:pos="2676"/>
        </w:tabs>
      </w:pPr>
      <w:r>
        <w:tab/>
      </w:r>
    </w:p>
    <w:p w14:paraId="6701A02F" w14:textId="4B7310D8" w:rsidR="000A5E35" w:rsidRDefault="000A5E35" w:rsidP="000A5E35">
      <w:pPr>
        <w:tabs>
          <w:tab w:val="left" w:pos="2676"/>
        </w:tabs>
      </w:pPr>
    </w:p>
    <w:p w14:paraId="185A05D6" w14:textId="509EB4A3" w:rsidR="007572BF" w:rsidRDefault="007572BF" w:rsidP="000A5E35">
      <w:pPr>
        <w:tabs>
          <w:tab w:val="left" w:pos="2676"/>
        </w:tabs>
      </w:pPr>
    </w:p>
    <w:p w14:paraId="7384BF82" w14:textId="46B3C674" w:rsidR="007572BF" w:rsidRDefault="007572BF" w:rsidP="000A5E35">
      <w:pPr>
        <w:tabs>
          <w:tab w:val="left" w:pos="2676"/>
        </w:tabs>
      </w:pPr>
    </w:p>
    <w:p w14:paraId="79D11D17" w14:textId="11F3C822" w:rsidR="007572BF" w:rsidRDefault="007572BF" w:rsidP="000A5E35">
      <w:pPr>
        <w:tabs>
          <w:tab w:val="left" w:pos="267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6FC5E6" wp14:editId="7FB7E209">
                <wp:simplePos x="0" y="0"/>
                <wp:positionH relativeFrom="margin">
                  <wp:posOffset>-3810</wp:posOffset>
                </wp:positionH>
                <wp:positionV relativeFrom="paragraph">
                  <wp:posOffset>424815</wp:posOffset>
                </wp:positionV>
                <wp:extent cx="630174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CF3DF" w14:textId="6C0CE955" w:rsidR="007572BF" w:rsidRDefault="007572BF">
                            <w:r>
                              <w:t>Диаграмма 2. Усредненные значения сосновых и березовых опилок.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FC5E6" id="_x0000_s1027" type="#_x0000_t202" style="position:absolute;margin-left:-.3pt;margin-top:33.45pt;width:496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" stroked="f">
                <v:textbox style="mso-fit-shape-to-text:t">
                  <w:txbxContent>
                    <w:p w14:paraId="2CFCF3DF" w14:textId="6C0CE955" w:rsidR="007572BF" w:rsidRDefault="007572BF">
                      <w:r>
                        <w:t>Диаграмма 2. Усредненные значения сосновых и березовых опилок.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02ACE8" w14:textId="71C44764" w:rsidR="007572BF" w:rsidRPr="000A5E35" w:rsidRDefault="007572BF" w:rsidP="000A5E35">
      <w:pPr>
        <w:tabs>
          <w:tab w:val="left" w:pos="2676"/>
        </w:tabs>
      </w:pPr>
      <w:r>
        <w:rPr>
          <w:noProof/>
        </w:rPr>
        <w:drawing>
          <wp:inline distT="0" distB="0" distL="0" distR="0" wp14:anchorId="6DD5D202" wp14:editId="7C005E8B">
            <wp:extent cx="8808720" cy="3756660"/>
            <wp:effectExtent l="0" t="0" r="11430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572BF" w:rsidRPr="000A5E35" w:rsidSect="007572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60"/>
    <w:rsid w:val="000A5E35"/>
    <w:rsid w:val="003F0C18"/>
    <w:rsid w:val="007572BF"/>
    <w:rsid w:val="00801385"/>
    <w:rsid w:val="00A2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2B40"/>
  <w15:chartTrackingRefBased/>
  <w15:docId w15:val="{DAD86D6E-C735-4835-BECE-BF89448C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1050;&#1085;&#1080;&#1075;&#1072;1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&#1050;&#1085;&#1080;&#1075;&#1072;1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[Книга1]Лист1!$B$12</c:f>
              <c:strCache>
                <c:ptCount val="1"/>
                <c:pt idx="0">
                  <c:v>СО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[Книга1]Лист1!$L$2:$L$13</c:f>
              <c:strCache>
                <c:ptCount val="9"/>
                <c:pt idx="0">
                  <c:v>Содержание гетита, %</c:v>
                </c:pt>
                <c:pt idx="4">
                  <c:v>Выход сорбента,%</c:v>
                </c:pt>
                <c:pt idx="8">
                  <c:v>Плавучесть,%</c:v>
                </c:pt>
              </c:strCache>
            </c:strRef>
          </c:cat>
          <c:val>
            <c:numRef>
              <c:f>[Книга1]Лист1!$M$2:$M$13</c:f>
              <c:numCache>
                <c:formatCode>0%</c:formatCode>
                <c:ptCount val="12"/>
                <c:pt idx="0">
                  <c:v>0.02</c:v>
                </c:pt>
                <c:pt idx="1">
                  <c:v>0.03</c:v>
                </c:pt>
                <c:pt idx="2">
                  <c:v>0.04</c:v>
                </c:pt>
                <c:pt idx="3">
                  <c:v>0.05</c:v>
                </c:pt>
                <c:pt idx="4" formatCode="0.00%">
                  <c:v>0.27900000000000003</c:v>
                </c:pt>
                <c:pt idx="5" formatCode="0.00%">
                  <c:v>0.373</c:v>
                </c:pt>
                <c:pt idx="6" formatCode="0.00%">
                  <c:v>0.39600000000000002</c:v>
                </c:pt>
                <c:pt idx="7" formatCode="0.00%">
                  <c:v>0.41599999999999998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5F-4973-BDB8-E6D652F23C98}"/>
            </c:ext>
          </c:extLst>
        </c:ser>
        <c:ser>
          <c:idx val="1"/>
          <c:order val="1"/>
          <c:tx>
            <c:strRef>
              <c:f>[Книга1]Лист1!$C$12</c:f>
              <c:strCache>
                <c:ptCount val="1"/>
                <c:pt idx="0">
                  <c:v>БО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[Книга1]Лист1!$L$2:$L$13</c:f>
              <c:strCache>
                <c:ptCount val="9"/>
                <c:pt idx="0">
                  <c:v>Содержание гетита, %</c:v>
                </c:pt>
                <c:pt idx="4">
                  <c:v>Выход сорбента,%</c:v>
                </c:pt>
                <c:pt idx="8">
                  <c:v>Плавучесть,%</c:v>
                </c:pt>
              </c:strCache>
            </c:strRef>
          </c:cat>
          <c:val>
            <c:numRef>
              <c:f>[Книга1]Лист1!$N$2:$N$13</c:f>
              <c:numCache>
                <c:formatCode>0%</c:formatCode>
                <c:ptCount val="12"/>
                <c:pt idx="0">
                  <c:v>0.02</c:v>
                </c:pt>
                <c:pt idx="1">
                  <c:v>0.03</c:v>
                </c:pt>
                <c:pt idx="2">
                  <c:v>0.04</c:v>
                </c:pt>
                <c:pt idx="3">
                  <c:v>0.05</c:v>
                </c:pt>
                <c:pt idx="4" formatCode="0.00%">
                  <c:v>0.21099999999999999</c:v>
                </c:pt>
                <c:pt idx="5" formatCode="0.00%">
                  <c:v>0.29099999999999998</c:v>
                </c:pt>
                <c:pt idx="6" formatCode="0.00%">
                  <c:v>0.32700000000000001</c:v>
                </c:pt>
                <c:pt idx="7" formatCode="0.00%">
                  <c:v>0.32800000000000001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5F-4973-BDB8-E6D652F23C9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cylinder"/>
        <c:axId val="168193536"/>
        <c:axId val="173787392"/>
        <c:axId val="0"/>
      </c:bar3DChart>
      <c:catAx>
        <c:axId val="16819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3787392"/>
        <c:crosses val="autoZero"/>
        <c:auto val="1"/>
        <c:lblAlgn val="ctr"/>
        <c:lblOffset val="100"/>
        <c:noMultiLvlLbl val="0"/>
      </c:catAx>
      <c:valAx>
        <c:axId val="17378739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crossAx val="1681935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[Книга1]Лист1!$B$12</c:f>
              <c:strCache>
                <c:ptCount val="1"/>
                <c:pt idx="0">
                  <c:v>СО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[Книга1]Лист1!$A$13:$A$24</c:f>
              <c:strCache>
                <c:ptCount val="9"/>
                <c:pt idx="0">
                  <c:v>Нефтеемкость сорбента, г/г</c:v>
                </c:pt>
                <c:pt idx="4">
                  <c:v>Водопоглощение сорбентов, г/г</c:v>
                </c:pt>
                <c:pt idx="8">
                  <c:v>Масса сорбента, собранная магнитом, г</c:v>
                </c:pt>
              </c:strCache>
            </c:strRef>
          </c:cat>
          <c:val>
            <c:numRef>
              <c:f>[Книга1]Лист1!$B$13:$B$24</c:f>
              <c:numCache>
                <c:formatCode>General</c:formatCode>
                <c:ptCount val="12"/>
                <c:pt idx="0">
                  <c:v>5.8</c:v>
                </c:pt>
                <c:pt idx="1">
                  <c:v>5.6</c:v>
                </c:pt>
                <c:pt idx="2">
                  <c:v>4.3</c:v>
                </c:pt>
                <c:pt idx="3">
                  <c:v>3.9</c:v>
                </c:pt>
                <c:pt idx="4">
                  <c:v>1.1299999999999999</c:v>
                </c:pt>
                <c:pt idx="5">
                  <c:v>0.91</c:v>
                </c:pt>
                <c:pt idx="6">
                  <c:v>0.55000000000000004</c:v>
                </c:pt>
                <c:pt idx="7">
                  <c:v>0.49</c:v>
                </c:pt>
                <c:pt idx="8">
                  <c:v>0.60799999999999998</c:v>
                </c:pt>
                <c:pt idx="9">
                  <c:v>0.81499999999999995</c:v>
                </c:pt>
                <c:pt idx="10">
                  <c:v>0.998</c:v>
                </c:pt>
                <c:pt idx="11">
                  <c:v>1.0029999999999999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B7-4AF1-AA92-33ECAF5AFA87}"/>
            </c:ext>
          </c:extLst>
        </c:ser>
        <c:ser>
          <c:idx val="1"/>
          <c:order val="1"/>
          <c:tx>
            <c:strRef>
              <c:f>[Книга1]Лист1!$C$12</c:f>
              <c:strCache>
                <c:ptCount val="1"/>
                <c:pt idx="0">
                  <c:v>БО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[Книга1]Лист1!$A$13:$A$24</c:f>
              <c:strCache>
                <c:ptCount val="9"/>
                <c:pt idx="0">
                  <c:v>Нефтеемкость сорбента, г/г</c:v>
                </c:pt>
                <c:pt idx="4">
                  <c:v>Водопоглощение сорбентов, г/г</c:v>
                </c:pt>
                <c:pt idx="8">
                  <c:v>Масса сорбента, собранная магнитом, г</c:v>
                </c:pt>
              </c:strCache>
            </c:strRef>
          </c:cat>
          <c:val>
            <c:numRef>
              <c:f>[Книга1]Лист1!$C$13:$C$24</c:f>
              <c:numCache>
                <c:formatCode>General</c:formatCode>
                <c:ptCount val="12"/>
                <c:pt idx="0">
                  <c:v>2.7</c:v>
                </c:pt>
                <c:pt idx="1">
                  <c:v>2.5</c:v>
                </c:pt>
                <c:pt idx="2">
                  <c:v>1.8</c:v>
                </c:pt>
                <c:pt idx="3">
                  <c:v>1.9</c:v>
                </c:pt>
                <c:pt idx="4">
                  <c:v>3.75</c:v>
                </c:pt>
                <c:pt idx="5">
                  <c:v>3.7</c:v>
                </c:pt>
                <c:pt idx="6">
                  <c:v>2.2999999999999998</c:v>
                </c:pt>
                <c:pt idx="7">
                  <c:v>0.97</c:v>
                </c:pt>
                <c:pt idx="8">
                  <c:v>1.0269999999999999</c:v>
                </c:pt>
                <c:pt idx="9">
                  <c:v>1.212</c:v>
                </c:pt>
                <c:pt idx="10">
                  <c:v>1.383</c:v>
                </c:pt>
                <c:pt idx="11">
                  <c:v>1.492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B7-4AF1-AA92-33ECAF5AFA8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cylinder"/>
        <c:axId val="137439232"/>
        <c:axId val="173786240"/>
        <c:axId val="0"/>
      </c:bar3DChart>
      <c:catAx>
        <c:axId val="13743923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73786240"/>
        <c:crosses val="autoZero"/>
        <c:auto val="1"/>
        <c:lblAlgn val="ctr"/>
        <c:lblOffset val="100"/>
        <c:noMultiLvlLbl val="0"/>
      </c:catAx>
      <c:valAx>
        <c:axId val="173786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374392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Valeria Kolero</cp:lastModifiedBy>
  <cp:revision>4</cp:revision>
  <dcterms:created xsi:type="dcterms:W3CDTF">2023-02-06T15:07:00Z</dcterms:created>
  <dcterms:modified xsi:type="dcterms:W3CDTF">2023-02-06T15:38:00Z</dcterms:modified>
</cp:coreProperties>
</file>