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52D34" w14:textId="77777777" w:rsidR="00980EB3" w:rsidRPr="00980EB3" w:rsidRDefault="00980EB3" w:rsidP="00980EB3">
      <w:pPr>
        <w:spacing w:after="0" w:line="240" w:lineRule="auto"/>
        <w:jc w:val="center"/>
        <w:rPr>
          <w:rFonts w:ascii="Times New Roman" w:hAnsi="Times New Roman" w:cs="Times New Roman"/>
          <w:b/>
          <w:bCs/>
        </w:rPr>
      </w:pPr>
      <w:r w:rsidRPr="00980EB3">
        <w:rPr>
          <w:rFonts w:ascii="Times New Roman" w:hAnsi="Times New Roman" w:cs="Times New Roman"/>
          <w:b/>
          <w:bCs/>
        </w:rPr>
        <w:t xml:space="preserve">Step 3: </w:t>
      </w:r>
      <w:r w:rsidRPr="00980EB3">
        <w:rPr>
          <w:rFonts w:ascii="Times New Roman" w:hAnsi="Times New Roman" w:cs="Times New Roman"/>
          <w:b/>
          <w:bCs/>
        </w:rPr>
        <w:t>Characterize Content Characteristics of Ephemeral and Non-Ephemeral Content</w:t>
      </w:r>
    </w:p>
    <w:p w14:paraId="7250D7C2" w14:textId="35F1698D" w:rsidR="00980EB3" w:rsidRPr="00980EB3" w:rsidRDefault="00980EB3" w:rsidP="00980EB3">
      <w:pPr>
        <w:spacing w:after="0" w:line="240" w:lineRule="auto"/>
        <w:jc w:val="center"/>
        <w:rPr>
          <w:rFonts w:ascii="Times New Roman" w:hAnsi="Times New Roman" w:cs="Times New Roman"/>
          <w:i/>
          <w:iCs/>
        </w:rPr>
      </w:pPr>
      <w:r w:rsidRPr="00980EB3">
        <w:rPr>
          <w:rFonts w:ascii="Times New Roman" w:hAnsi="Times New Roman" w:cs="Times New Roman"/>
          <w:i/>
          <w:iCs/>
        </w:rPr>
        <w:t>Content Analysis</w:t>
      </w:r>
    </w:p>
    <w:p w14:paraId="12C348AB" w14:textId="0F340321" w:rsidR="006A53F0" w:rsidRPr="00980EB3" w:rsidRDefault="006A53F0" w:rsidP="00980EB3">
      <w:pPr>
        <w:spacing w:after="0" w:line="240" w:lineRule="auto"/>
        <w:rPr>
          <w:rFonts w:ascii="Times New Roman" w:hAnsi="Times New Roman" w:cs="Times New Roman"/>
        </w:rPr>
      </w:pPr>
    </w:p>
    <w:p w14:paraId="16E6D9CD" w14:textId="15156808" w:rsidR="00980EB3" w:rsidRPr="00980EB3" w:rsidRDefault="00980EB3" w:rsidP="00980EB3">
      <w:pPr>
        <w:spacing w:after="0" w:line="240" w:lineRule="auto"/>
        <w:rPr>
          <w:rFonts w:ascii="Times New Roman" w:hAnsi="Times New Roman" w:cs="Times New Roman"/>
          <w:b/>
          <w:bCs/>
        </w:rPr>
      </w:pPr>
      <w:r w:rsidRPr="00980EB3">
        <w:rPr>
          <w:rFonts w:ascii="Times New Roman" w:hAnsi="Times New Roman" w:cs="Times New Roman"/>
          <w:b/>
          <w:bCs/>
        </w:rPr>
        <w:t>Summary:</w:t>
      </w:r>
    </w:p>
    <w:p w14:paraId="407EABB6" w14:textId="3A4E1D25"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I</w:t>
      </w:r>
      <w:r w:rsidRPr="00980EB3">
        <w:rPr>
          <w:rFonts w:ascii="Times New Roman" w:hAnsi="Times New Roman" w:cs="Times New Roman"/>
        </w:rPr>
        <w:t xml:space="preserve"> conducted a content analysis of both ephemeral and non-ephemeral videos to characterize the content characteristics (i.e., a video’s user engagement metrics and audio, visual, and linguistic elements) of each. </w:t>
      </w:r>
      <w:r w:rsidRPr="00980EB3">
        <w:rPr>
          <w:rFonts w:ascii="Times New Roman" w:hAnsi="Times New Roman" w:cs="Times New Roman"/>
        </w:rPr>
        <w:t xml:space="preserve">I </w:t>
      </w:r>
      <w:r w:rsidRPr="00980EB3">
        <w:rPr>
          <w:rFonts w:ascii="Times New Roman" w:hAnsi="Times New Roman" w:cs="Times New Roman"/>
        </w:rPr>
        <w:t>developed a preliminary codebook based on prior research on NSSI content on social media (</w:t>
      </w:r>
      <w:proofErr w:type="spellStart"/>
      <w:r w:rsidRPr="00980EB3">
        <w:rPr>
          <w:rFonts w:ascii="Times New Roman" w:hAnsi="Times New Roman" w:cs="Times New Roman"/>
        </w:rPr>
        <w:t>Himelein-Wachowiak</w:t>
      </w:r>
      <w:proofErr w:type="spellEnd"/>
      <w:r w:rsidRPr="00980EB3">
        <w:rPr>
          <w:rFonts w:ascii="Times New Roman" w:hAnsi="Times New Roman" w:cs="Times New Roman"/>
        </w:rPr>
        <w:t xml:space="preserve"> et al., 2022) and moderation of mental health content on social media (Steen et al., 2023), as well as open coding. </w:t>
      </w:r>
      <w:r w:rsidRPr="00980EB3">
        <w:rPr>
          <w:rFonts w:ascii="Times New Roman" w:hAnsi="Times New Roman" w:cs="Times New Roman"/>
        </w:rPr>
        <w:t>I</w:t>
      </w:r>
      <w:r w:rsidRPr="00980EB3">
        <w:rPr>
          <w:rFonts w:ascii="Times New Roman" w:hAnsi="Times New Roman" w:cs="Times New Roman"/>
        </w:rPr>
        <w:t xml:space="preserve"> then discussed and refined these codes</w:t>
      </w:r>
      <w:r w:rsidRPr="00980EB3">
        <w:rPr>
          <w:rFonts w:ascii="Times New Roman" w:hAnsi="Times New Roman" w:cs="Times New Roman"/>
        </w:rPr>
        <w:t xml:space="preserve"> further with an information science researcher</w:t>
      </w:r>
      <w:r w:rsidRPr="00980EB3">
        <w:rPr>
          <w:rFonts w:ascii="Times New Roman" w:hAnsi="Times New Roman" w:cs="Times New Roman"/>
        </w:rPr>
        <w:t xml:space="preserve"> based on criteria such as data classification, coding category saturation, and coding regularities to establish a final codebook (see Supplemental File). We tested intercoder reliability with this final codebook using Cohen’s kappa (κ = 0.76). </w:t>
      </w:r>
      <w:r w:rsidRPr="00980EB3">
        <w:rPr>
          <w:rFonts w:ascii="Times New Roman" w:hAnsi="Times New Roman" w:cs="Times New Roman"/>
        </w:rPr>
        <w:t>My</w:t>
      </w:r>
      <w:r w:rsidRPr="00980EB3">
        <w:rPr>
          <w:rFonts w:ascii="Times New Roman" w:hAnsi="Times New Roman" w:cs="Times New Roman"/>
        </w:rPr>
        <w:t xml:space="preserve"> analysis resulted in six high-level categories: addiction language, algospeak, signaling, visible scars, explicit NSSI language, and the presence of trigger warnings. </w:t>
      </w:r>
      <w:r w:rsidRPr="00980EB3">
        <w:rPr>
          <w:rFonts w:ascii="Times New Roman" w:hAnsi="Times New Roman" w:cs="Times New Roman"/>
        </w:rPr>
        <w:t>I</w:t>
      </w:r>
      <w:r w:rsidRPr="00980EB3">
        <w:rPr>
          <w:rFonts w:ascii="Times New Roman" w:hAnsi="Times New Roman" w:cs="Times New Roman"/>
        </w:rPr>
        <w:t xml:space="preserve"> organized 24 child codes under these categories: three for addiction language, six for algospeak, four for explicit language, four for visible scars, and seven for signaling</w:t>
      </w:r>
      <w:r w:rsidRPr="00980EB3">
        <w:rPr>
          <w:rFonts w:ascii="Times New Roman" w:hAnsi="Times New Roman" w:cs="Times New Roman"/>
        </w:rPr>
        <w:t>. I</w:t>
      </w:r>
      <w:r w:rsidRPr="00980EB3">
        <w:rPr>
          <w:rFonts w:ascii="Times New Roman" w:hAnsi="Times New Roman" w:cs="Times New Roman"/>
        </w:rPr>
        <w:t xml:space="preserve"> coded each characteristic as present (1) or absent (0) in Excel.</w:t>
      </w:r>
    </w:p>
    <w:p w14:paraId="0BFB37F1" w14:textId="77777777" w:rsidR="00980EB3" w:rsidRDefault="00980EB3" w:rsidP="00980EB3">
      <w:pPr>
        <w:spacing w:after="0" w:line="240" w:lineRule="auto"/>
        <w:rPr>
          <w:rFonts w:ascii="Times New Roman" w:hAnsi="Times New Roman" w:cs="Times New Roman"/>
        </w:rPr>
      </w:pPr>
    </w:p>
    <w:p w14:paraId="7D438A2D" w14:textId="24AE8E73" w:rsidR="00980EB3" w:rsidRPr="00980EB3" w:rsidRDefault="00980EB3" w:rsidP="00980EB3">
      <w:pPr>
        <w:spacing w:after="0" w:line="240" w:lineRule="auto"/>
        <w:rPr>
          <w:rFonts w:ascii="Times New Roman" w:hAnsi="Times New Roman" w:cs="Times New Roman"/>
          <w:b/>
          <w:bCs/>
        </w:rPr>
      </w:pPr>
      <w:r w:rsidRPr="00980EB3">
        <w:rPr>
          <w:rFonts w:ascii="Times New Roman" w:hAnsi="Times New Roman" w:cs="Times New Roman"/>
          <w:b/>
          <w:bCs/>
        </w:rPr>
        <w:t>Results:</w:t>
      </w:r>
    </w:p>
    <w:p w14:paraId="58CA6179" w14:textId="0380BF9D"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As observed through the content analysis (Table 5), approximately a third (33.03%) of all videos in the sample included explicit NSSI language, with explicit terms referencing NSSI scars (16.84%), methods of engaging in NSSI such as cutting or burning (4.25%), or the act of self-harm itself (10.87%). The analysis also revealed that 32.79% of videos contained some form of addiction language. This language framed NSSI in terms commonly associated with substance use disorders. For instance, 19.79% of videos referenced recovering from or being “clean” from NSSI. These videos often shared milestones related to NSSI sobriety</w:t>
      </w:r>
      <w:r w:rsidRPr="00980EB3">
        <w:rPr>
          <w:rFonts w:ascii="Times New Roman" w:hAnsi="Times New Roman" w:cs="Times New Roman"/>
          <w:i/>
          <w:iCs/>
        </w:rPr>
        <w:t>.</w:t>
      </w:r>
      <w:r w:rsidRPr="00980EB3">
        <w:rPr>
          <w:rFonts w:ascii="Times New Roman" w:hAnsi="Times New Roman" w:cs="Times New Roman"/>
        </w:rPr>
        <w:t xml:space="preserve"> A commonly observed trend included photos of users with text celebrating their sobriety (e.g., “I’m four months sober!!”) followed by photos of their younger selves (e.g., “Wait, we stayed clean for longer than a day?”). Alternatively, a smaller subset of videos discussed relapsing (9.73%), reflecting the challenges users face in “quitting” NSSI. Videos with relapsing language commonly included screenshots of the “I Am Sober” app, a sobriety tracking app designed to track and log milestones for addictions such as alcohol, drugs, and nicotine.</w:t>
      </w:r>
    </w:p>
    <w:p w14:paraId="0A573FB3" w14:textId="77777777" w:rsidR="00980EB3" w:rsidRDefault="00980EB3" w:rsidP="00980EB3">
      <w:pPr>
        <w:spacing w:after="0" w:line="240" w:lineRule="auto"/>
        <w:rPr>
          <w:rFonts w:ascii="Times New Roman" w:hAnsi="Times New Roman" w:cs="Times New Roman"/>
        </w:rPr>
      </w:pPr>
    </w:p>
    <w:p w14:paraId="6BCB5CB3" w14:textId="2B056DEF"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 xml:space="preserve">Signaling was another common characteristic, observed within 31.64% of videos in the sample. These videos often relied on insider references (9.32%) understood primarily by those with lived experiences with NSSI, such as referencing feelings of “showers stinging,” “locking the door and get[ting] supplies,” and wearing rubber bands, a common harm reduction strategy to mitigate NSSI urges. Other instances of signaling referenced parts of users’ bodies with NSSI wounds (7.03%), such as “Don’t let them see you like this. Wash your face and hide your wrists” or “I hate ‘what happened to your arms?’ season so much.” Similarly, signaling also referenced clothing (5.97%) </w:t>
      </w:r>
      <w:proofErr w:type="gramStart"/>
      <w:r w:rsidRPr="00980EB3">
        <w:rPr>
          <w:rFonts w:ascii="Times New Roman" w:hAnsi="Times New Roman" w:cs="Times New Roman"/>
        </w:rPr>
        <w:t>as a means to</w:t>
      </w:r>
      <w:proofErr w:type="gramEnd"/>
      <w:r w:rsidRPr="00980EB3">
        <w:rPr>
          <w:rFonts w:ascii="Times New Roman" w:hAnsi="Times New Roman" w:cs="Times New Roman"/>
        </w:rPr>
        <w:t xml:space="preserve"> conceal (or reveal) NSSI wounds (e.g., “POV your parents got confused and chose thought daughter and now I can’t wear short sleeves its 81 degrees </w:t>
      </w:r>
      <w:proofErr w:type="spellStart"/>
      <w:r w:rsidRPr="00980EB3">
        <w:rPr>
          <w:rFonts w:ascii="Times New Roman" w:hAnsi="Times New Roman" w:cs="Times New Roman"/>
        </w:rPr>
        <w:t>tmw</w:t>
      </w:r>
      <w:proofErr w:type="spellEnd"/>
      <w:r w:rsidRPr="00980EB3">
        <w:rPr>
          <w:rFonts w:ascii="Times New Roman" w:hAnsi="Times New Roman" w:cs="Times New Roman"/>
        </w:rPr>
        <w:t xml:space="preserve">”). </w:t>
      </w:r>
    </w:p>
    <w:p w14:paraId="375BD36A" w14:textId="73B02F91" w:rsid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Approximately 28.62% of videos employed algospeak. Common forms of algospeak included abbreviations of NSSI terms (13.82%), most notably “</w:t>
      </w:r>
      <w:proofErr w:type="spellStart"/>
      <w:r w:rsidRPr="00980EB3">
        <w:rPr>
          <w:rFonts w:ascii="Times New Roman" w:hAnsi="Times New Roman" w:cs="Times New Roman"/>
        </w:rPr>
        <w:t>sh</w:t>
      </w:r>
      <w:proofErr w:type="spellEnd"/>
      <w:r w:rsidRPr="00980EB3">
        <w:rPr>
          <w:rFonts w:ascii="Times New Roman" w:hAnsi="Times New Roman" w:cs="Times New Roman"/>
        </w:rPr>
        <w:t xml:space="preserve">” in place of self-harm. Other videos (8.18%) replaced letters in NSSI terms with numbers or symbols: “My controversial opinion. $H healed scars are not ‘inappropriate’ for young people to see…we don’t need censorship. We need </w:t>
      </w:r>
      <w:r w:rsidRPr="00980EB3">
        <w:rPr>
          <w:rFonts w:ascii="Times New Roman" w:hAnsi="Times New Roman" w:cs="Times New Roman"/>
        </w:rPr>
        <w:lastRenderedPageBreak/>
        <w:t xml:space="preserve">awareness.” Algospeak was observed in references to instruments used to engage in NSSI (e.g., b1ade), methods of engaging in NSSI (e.g., c*t), and addiction language (e.g., </w:t>
      </w:r>
      <w:proofErr w:type="spellStart"/>
      <w:r w:rsidRPr="00980EB3">
        <w:rPr>
          <w:rFonts w:ascii="Times New Roman" w:hAnsi="Times New Roman" w:cs="Times New Roman"/>
        </w:rPr>
        <w:t>cle@n</w:t>
      </w:r>
      <w:proofErr w:type="spellEnd"/>
      <w:r w:rsidRPr="00980EB3">
        <w:rPr>
          <w:rFonts w:ascii="Times New Roman" w:hAnsi="Times New Roman" w:cs="Times New Roman"/>
        </w:rPr>
        <w:t>).</w:t>
      </w:r>
    </w:p>
    <w:p w14:paraId="33D1B975" w14:textId="77777777" w:rsidR="00980EB3" w:rsidRPr="00980EB3" w:rsidRDefault="00980EB3" w:rsidP="00980EB3">
      <w:pPr>
        <w:spacing w:after="0" w:line="240" w:lineRule="auto"/>
        <w:rPr>
          <w:rFonts w:ascii="Times New Roman" w:hAnsi="Times New Roman" w:cs="Times New Roman"/>
        </w:rPr>
      </w:pPr>
    </w:p>
    <w:tbl>
      <w:tblPr>
        <w:tblW w:w="6128" w:type="dxa"/>
        <w:jc w:val="center"/>
        <w:tblBorders>
          <w:top w:val="nil"/>
          <w:left w:val="nil"/>
          <w:bottom w:val="nil"/>
          <w:right w:val="nil"/>
          <w:insideH w:val="nil"/>
          <w:insideV w:val="nil"/>
        </w:tblBorders>
        <w:tblLayout w:type="fixed"/>
        <w:tblLook w:val="0600" w:firstRow="0" w:lastRow="0" w:firstColumn="0" w:lastColumn="0" w:noHBand="1" w:noVBand="1"/>
      </w:tblPr>
      <w:tblGrid>
        <w:gridCol w:w="2948"/>
        <w:gridCol w:w="2092"/>
        <w:gridCol w:w="1088"/>
      </w:tblGrid>
      <w:tr w:rsidR="00980EB3" w:rsidRPr="00980EB3" w14:paraId="6AD8AC84" w14:textId="77777777" w:rsidTr="00980EB3">
        <w:trPr>
          <w:trHeight w:val="195"/>
          <w:jc w:val="center"/>
        </w:trPr>
        <w:tc>
          <w:tcPr>
            <w:tcW w:w="294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BEC336" w14:textId="77777777" w:rsidR="00980EB3" w:rsidRPr="00980EB3" w:rsidRDefault="00980EB3" w:rsidP="00980EB3">
            <w:pPr>
              <w:spacing w:after="0" w:line="240" w:lineRule="auto"/>
              <w:jc w:val="center"/>
              <w:rPr>
                <w:rFonts w:ascii="Times New Roman" w:hAnsi="Times New Roman" w:cs="Times New Roman"/>
                <w:b/>
              </w:rPr>
            </w:pPr>
            <w:r w:rsidRPr="00980EB3">
              <w:rPr>
                <w:rFonts w:ascii="Times New Roman" w:hAnsi="Times New Roman" w:cs="Times New Roman"/>
                <w:b/>
              </w:rPr>
              <w:t>Content Characteristic</w:t>
            </w:r>
          </w:p>
        </w:tc>
        <w:tc>
          <w:tcPr>
            <w:tcW w:w="209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D53C3D0" w14:textId="77777777" w:rsidR="00980EB3" w:rsidRPr="00980EB3" w:rsidRDefault="00980EB3" w:rsidP="00980EB3">
            <w:pPr>
              <w:spacing w:after="0" w:line="240" w:lineRule="auto"/>
              <w:jc w:val="center"/>
              <w:rPr>
                <w:rFonts w:ascii="Times New Roman" w:hAnsi="Times New Roman" w:cs="Times New Roman"/>
                <w:b/>
              </w:rPr>
            </w:pPr>
            <w:r w:rsidRPr="00980EB3">
              <w:rPr>
                <w:rFonts w:ascii="Times New Roman" w:hAnsi="Times New Roman" w:cs="Times New Roman"/>
                <w:b/>
              </w:rPr>
              <w:t>Videos (n = 1,223)</w:t>
            </w:r>
          </w:p>
        </w:tc>
        <w:tc>
          <w:tcPr>
            <w:tcW w:w="108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18BCA33" w14:textId="77777777" w:rsidR="00980EB3" w:rsidRPr="00980EB3" w:rsidRDefault="00980EB3" w:rsidP="00980EB3">
            <w:pPr>
              <w:spacing w:after="0" w:line="240" w:lineRule="auto"/>
              <w:jc w:val="center"/>
              <w:rPr>
                <w:rFonts w:ascii="Times New Roman" w:hAnsi="Times New Roman" w:cs="Times New Roman"/>
                <w:b/>
              </w:rPr>
            </w:pPr>
            <w:r w:rsidRPr="00980EB3">
              <w:rPr>
                <w:rFonts w:ascii="Times New Roman" w:hAnsi="Times New Roman" w:cs="Times New Roman"/>
                <w:b/>
              </w:rPr>
              <w:t>%</w:t>
            </w:r>
          </w:p>
        </w:tc>
      </w:tr>
      <w:tr w:rsidR="00980EB3" w:rsidRPr="00980EB3" w14:paraId="13FED543"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5F2151" w14:textId="77777777" w:rsidR="00980EB3" w:rsidRPr="00980EB3" w:rsidRDefault="00980EB3" w:rsidP="00980EB3">
            <w:pPr>
              <w:spacing w:after="0" w:line="240" w:lineRule="auto"/>
              <w:rPr>
                <w:rFonts w:ascii="Times New Roman" w:hAnsi="Times New Roman" w:cs="Times New Roman"/>
                <w:b/>
              </w:rPr>
            </w:pPr>
            <w:r w:rsidRPr="00980EB3">
              <w:rPr>
                <w:rFonts w:ascii="Times New Roman" w:hAnsi="Times New Roman" w:cs="Times New Roman"/>
                <w:b/>
              </w:rPr>
              <w:t>Addiction language</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7D8DEBE0"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401</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489EED35"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32.79%</w:t>
            </w:r>
          </w:p>
        </w:tc>
      </w:tr>
      <w:tr w:rsidR="00980EB3" w:rsidRPr="00980EB3" w14:paraId="2FCB9B3B"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481800"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Sobriety</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12CD755F"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243</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6F1C67EB"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19.87%</w:t>
            </w:r>
          </w:p>
        </w:tc>
      </w:tr>
      <w:tr w:rsidR="00980EB3" w:rsidRPr="00980EB3" w14:paraId="71970BBF"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0EFFD3"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Relapsing</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27790FE1"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119</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6A62F67D"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9.73%</w:t>
            </w:r>
          </w:p>
        </w:tc>
      </w:tr>
      <w:tr w:rsidR="00980EB3" w:rsidRPr="00980EB3" w14:paraId="06292981"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AAA5A2"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NSSI as an addiction</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0FA10C73"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54</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30674E07"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4.42%</w:t>
            </w:r>
          </w:p>
        </w:tc>
      </w:tr>
      <w:tr w:rsidR="00980EB3" w:rsidRPr="00980EB3" w14:paraId="2638E797"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29EDDC" w14:textId="77777777" w:rsidR="00980EB3" w:rsidRPr="00980EB3" w:rsidRDefault="00980EB3" w:rsidP="00980EB3">
            <w:pPr>
              <w:spacing w:after="0" w:line="240" w:lineRule="auto"/>
              <w:rPr>
                <w:rFonts w:ascii="Times New Roman" w:hAnsi="Times New Roman" w:cs="Times New Roman"/>
                <w:b/>
              </w:rPr>
            </w:pPr>
            <w:r w:rsidRPr="00980EB3">
              <w:rPr>
                <w:rFonts w:ascii="Times New Roman" w:hAnsi="Times New Roman" w:cs="Times New Roman"/>
                <w:b/>
              </w:rPr>
              <w:t>Algospeak</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07971360"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350</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49CF067E"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28.62%</w:t>
            </w:r>
          </w:p>
        </w:tc>
      </w:tr>
      <w:tr w:rsidR="00980EB3" w:rsidRPr="00980EB3" w14:paraId="41F27BE9"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196132"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Abbreviation</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18B2B71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169</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1B26FE32"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13.82%</w:t>
            </w:r>
          </w:p>
        </w:tc>
      </w:tr>
      <w:tr w:rsidR="00980EB3" w:rsidRPr="00980EB3" w14:paraId="25BAEBA0"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8878E2"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Symbol</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2492246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100</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158B8D5D"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8.18%</w:t>
            </w:r>
          </w:p>
        </w:tc>
      </w:tr>
      <w:tr w:rsidR="00980EB3" w:rsidRPr="00980EB3" w14:paraId="5D2D8D0A"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EE0D81"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Coverup</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5D88C010"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68</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623D1A7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5.57%</w:t>
            </w:r>
          </w:p>
        </w:tc>
      </w:tr>
      <w:tr w:rsidR="00980EB3" w:rsidRPr="00980EB3" w14:paraId="0516D71F"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88A6DA"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Term</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1075DA75"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29</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144A6524"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2.37%</w:t>
            </w:r>
          </w:p>
        </w:tc>
      </w:tr>
      <w:tr w:rsidR="00980EB3" w:rsidRPr="00980EB3" w14:paraId="6B7F436A"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4766D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Misspelling</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46418193"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20</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5A14D013"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1.64%</w:t>
            </w:r>
          </w:p>
        </w:tc>
      </w:tr>
      <w:tr w:rsidR="00980EB3" w:rsidRPr="00980EB3" w14:paraId="47C23A07"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4A238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Character</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1341F326"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16</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6419AB01"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1.31%</w:t>
            </w:r>
          </w:p>
        </w:tc>
      </w:tr>
      <w:tr w:rsidR="00980EB3" w:rsidRPr="00980EB3" w14:paraId="75CAEDBF"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38F145" w14:textId="77777777" w:rsidR="00980EB3" w:rsidRPr="00980EB3" w:rsidRDefault="00980EB3" w:rsidP="00980EB3">
            <w:pPr>
              <w:spacing w:after="0" w:line="240" w:lineRule="auto"/>
              <w:rPr>
                <w:rFonts w:ascii="Times New Roman" w:hAnsi="Times New Roman" w:cs="Times New Roman"/>
                <w:b/>
              </w:rPr>
            </w:pPr>
            <w:r w:rsidRPr="00980EB3">
              <w:rPr>
                <w:rFonts w:ascii="Times New Roman" w:hAnsi="Times New Roman" w:cs="Times New Roman"/>
                <w:b/>
              </w:rPr>
              <w:t>Signaling</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008C8590"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387</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29ECA036"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31.64%</w:t>
            </w:r>
          </w:p>
        </w:tc>
      </w:tr>
      <w:tr w:rsidR="00980EB3" w:rsidRPr="00980EB3" w14:paraId="5E3B5FB2"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0FBDCD"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Insider reference</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47F11180"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114</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063945E7"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9.32%</w:t>
            </w:r>
          </w:p>
        </w:tc>
      </w:tr>
      <w:tr w:rsidR="00980EB3" w:rsidRPr="00980EB3" w14:paraId="7BE7FCDE"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D31305"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Body</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0A8D7B1D"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86</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70B8C845"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7.03%</w:t>
            </w:r>
          </w:p>
        </w:tc>
      </w:tr>
      <w:tr w:rsidR="00980EB3" w:rsidRPr="00980EB3" w14:paraId="41084751"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DCCFF4"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Clothing</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6B228E7E"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73</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27C1633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5.97%</w:t>
            </w:r>
          </w:p>
        </w:tc>
      </w:tr>
      <w:tr w:rsidR="00980EB3" w:rsidRPr="00980EB3" w14:paraId="6EDC1A3C"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A4BE72"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Imagery</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4C2B1B51"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58</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2CC3CEAA"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4.74%</w:t>
            </w:r>
          </w:p>
        </w:tc>
      </w:tr>
      <w:tr w:rsidR="00980EB3" w:rsidRPr="00980EB3" w14:paraId="2DE8C6DB"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E75EC5"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Summer</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232B5F7E"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45</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51FB39E4"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3.68%</w:t>
            </w:r>
          </w:p>
        </w:tc>
      </w:tr>
      <w:tr w:rsidR="00980EB3" w:rsidRPr="00980EB3" w14:paraId="5F7BC13F"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6219008"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Lyric</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609F5FE4"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35</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5D2E97A0"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2.86%</w:t>
            </w:r>
          </w:p>
        </w:tc>
      </w:tr>
      <w:tr w:rsidR="00980EB3" w:rsidRPr="00980EB3" w14:paraId="2B60CD63"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B16BD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Blood</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16833522"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31</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429A0FE6"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2.54%</w:t>
            </w:r>
          </w:p>
        </w:tc>
      </w:tr>
      <w:tr w:rsidR="00980EB3" w:rsidRPr="00980EB3" w14:paraId="4BDE3C6F"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B418D8" w14:textId="77777777" w:rsidR="00980EB3" w:rsidRPr="00980EB3" w:rsidRDefault="00980EB3" w:rsidP="00980EB3">
            <w:pPr>
              <w:spacing w:after="0" w:line="240" w:lineRule="auto"/>
              <w:rPr>
                <w:rFonts w:ascii="Times New Roman" w:hAnsi="Times New Roman" w:cs="Times New Roman"/>
                <w:b/>
              </w:rPr>
            </w:pPr>
            <w:r w:rsidRPr="00980EB3">
              <w:rPr>
                <w:rFonts w:ascii="Times New Roman" w:hAnsi="Times New Roman" w:cs="Times New Roman"/>
                <w:b/>
              </w:rPr>
              <w:t>Visible scars</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0729F40F"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129</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6F8491E7"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10.55%</w:t>
            </w:r>
          </w:p>
        </w:tc>
      </w:tr>
      <w:tr w:rsidR="00980EB3" w:rsidRPr="00980EB3" w14:paraId="4C9087E3"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C14F5C"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Healed</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3E0E3884"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55</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429AED5B"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4.50%</w:t>
            </w:r>
          </w:p>
        </w:tc>
      </w:tr>
      <w:tr w:rsidR="00980EB3" w:rsidRPr="00980EB3" w14:paraId="36F0E78B"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B9E26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Drawn</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792FB2E7"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53</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35EF432D"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4.33%</w:t>
            </w:r>
          </w:p>
        </w:tc>
      </w:tr>
      <w:tr w:rsidR="00980EB3" w:rsidRPr="00980EB3" w14:paraId="452E153F"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EFA34D"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Bandaged</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4E5898B7"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14</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37E772DB"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1.14%</w:t>
            </w:r>
          </w:p>
        </w:tc>
      </w:tr>
      <w:tr w:rsidR="00980EB3" w:rsidRPr="00980EB3" w14:paraId="080E223D"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3F1FBFD"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Fresh</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455CD42E"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8</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1544B631"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0.65%</w:t>
            </w:r>
          </w:p>
        </w:tc>
      </w:tr>
      <w:tr w:rsidR="00980EB3" w:rsidRPr="00980EB3" w14:paraId="6BD07DFA"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4426A0" w14:textId="77777777" w:rsidR="00980EB3" w:rsidRPr="00980EB3" w:rsidRDefault="00980EB3" w:rsidP="00980EB3">
            <w:pPr>
              <w:spacing w:after="0" w:line="240" w:lineRule="auto"/>
              <w:rPr>
                <w:rFonts w:ascii="Times New Roman" w:hAnsi="Times New Roman" w:cs="Times New Roman"/>
                <w:b/>
              </w:rPr>
            </w:pPr>
            <w:r w:rsidRPr="00980EB3">
              <w:rPr>
                <w:rFonts w:ascii="Times New Roman" w:hAnsi="Times New Roman" w:cs="Times New Roman"/>
                <w:b/>
              </w:rPr>
              <w:t>Explicit NSSI language</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4E8A7EE6"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404</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32330EEE"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33.03%</w:t>
            </w:r>
          </w:p>
        </w:tc>
      </w:tr>
      <w:tr w:rsidR="00980EB3" w:rsidRPr="00980EB3" w14:paraId="72594114"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87DBE88"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Scars</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4B0331A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206</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5494FA75"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16.84%</w:t>
            </w:r>
          </w:p>
        </w:tc>
      </w:tr>
      <w:tr w:rsidR="00980EB3" w:rsidRPr="00980EB3" w14:paraId="3D067745"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228FA7"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Self-harm</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79EDEF61"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133</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380543CA"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10.87%</w:t>
            </w:r>
          </w:p>
        </w:tc>
      </w:tr>
      <w:tr w:rsidR="00980EB3" w:rsidRPr="00980EB3" w14:paraId="24978967"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1A7892"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Method</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5E903F18"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52</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5ED1758D"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4.25%</w:t>
            </w:r>
          </w:p>
        </w:tc>
      </w:tr>
      <w:tr w:rsidR="00980EB3" w:rsidRPr="00980EB3" w14:paraId="18C0C772"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7EEC76"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Instrument</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744265F9"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36</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324EEC02"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2.94%</w:t>
            </w:r>
          </w:p>
        </w:tc>
      </w:tr>
      <w:tr w:rsidR="00980EB3" w:rsidRPr="00980EB3" w14:paraId="44251280" w14:textId="77777777" w:rsidTr="00980EB3">
        <w:trPr>
          <w:trHeight w:val="195"/>
          <w:jc w:val="center"/>
        </w:trPr>
        <w:tc>
          <w:tcPr>
            <w:tcW w:w="2948"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B0152A" w14:textId="77777777" w:rsidR="00980EB3" w:rsidRPr="00980EB3" w:rsidRDefault="00980EB3" w:rsidP="00980EB3">
            <w:pPr>
              <w:spacing w:after="0" w:line="240" w:lineRule="auto"/>
              <w:rPr>
                <w:rFonts w:ascii="Times New Roman" w:hAnsi="Times New Roman" w:cs="Times New Roman"/>
                <w:b/>
              </w:rPr>
            </w:pPr>
            <w:r w:rsidRPr="00980EB3">
              <w:rPr>
                <w:rFonts w:ascii="Times New Roman" w:hAnsi="Times New Roman" w:cs="Times New Roman"/>
                <w:b/>
              </w:rPr>
              <w:t>Trigger warnings</w:t>
            </w:r>
          </w:p>
        </w:tc>
        <w:tc>
          <w:tcPr>
            <w:tcW w:w="2092" w:type="dxa"/>
            <w:tcBorders>
              <w:top w:val="nil"/>
              <w:left w:val="nil"/>
              <w:bottom w:val="single" w:sz="6" w:space="0" w:color="000000"/>
              <w:right w:val="single" w:sz="6" w:space="0" w:color="000000"/>
            </w:tcBorders>
            <w:tcMar>
              <w:top w:w="0" w:type="dxa"/>
              <w:left w:w="100" w:type="dxa"/>
              <w:bottom w:w="0" w:type="dxa"/>
              <w:right w:w="100" w:type="dxa"/>
            </w:tcMar>
          </w:tcPr>
          <w:p w14:paraId="1C28C14E"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41</w:t>
            </w:r>
          </w:p>
        </w:tc>
        <w:tc>
          <w:tcPr>
            <w:tcW w:w="1088" w:type="dxa"/>
            <w:tcBorders>
              <w:top w:val="nil"/>
              <w:left w:val="nil"/>
              <w:bottom w:val="single" w:sz="6" w:space="0" w:color="000000"/>
              <w:right w:val="single" w:sz="6" w:space="0" w:color="000000"/>
            </w:tcBorders>
            <w:tcMar>
              <w:top w:w="0" w:type="dxa"/>
              <w:left w:w="100" w:type="dxa"/>
              <w:bottom w:w="0" w:type="dxa"/>
              <w:right w:w="100" w:type="dxa"/>
            </w:tcMar>
          </w:tcPr>
          <w:p w14:paraId="628C8707" w14:textId="77777777" w:rsidR="00980EB3" w:rsidRPr="00980EB3" w:rsidRDefault="00980EB3" w:rsidP="00980EB3">
            <w:pPr>
              <w:spacing w:after="0" w:line="240" w:lineRule="auto"/>
              <w:rPr>
                <w:rFonts w:ascii="Times New Roman" w:hAnsi="Times New Roman" w:cs="Times New Roman"/>
              </w:rPr>
            </w:pPr>
            <w:r w:rsidRPr="00980EB3">
              <w:rPr>
                <w:rFonts w:ascii="Times New Roman" w:hAnsi="Times New Roman" w:cs="Times New Roman"/>
              </w:rPr>
              <w:t>3.35%</w:t>
            </w:r>
          </w:p>
        </w:tc>
      </w:tr>
    </w:tbl>
    <w:p w14:paraId="7C27FD5B" w14:textId="77777777" w:rsidR="00980EB3" w:rsidRPr="00980EB3" w:rsidRDefault="00980EB3" w:rsidP="00980EB3">
      <w:pPr>
        <w:spacing w:after="0" w:line="240" w:lineRule="auto"/>
        <w:rPr>
          <w:rFonts w:ascii="Times New Roman" w:hAnsi="Times New Roman" w:cs="Times New Roman"/>
        </w:rPr>
      </w:pPr>
    </w:p>
    <w:sectPr w:rsidR="00980EB3" w:rsidRPr="00980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B3"/>
    <w:rsid w:val="006A53F0"/>
    <w:rsid w:val="006E1984"/>
    <w:rsid w:val="00853EF4"/>
    <w:rsid w:val="0098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9FB94"/>
  <w15:chartTrackingRefBased/>
  <w15:docId w15:val="{8CC94528-5A8A-2544-A2DF-20616439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0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0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EB3"/>
    <w:rPr>
      <w:rFonts w:eastAsiaTheme="majorEastAsia" w:cstheme="majorBidi"/>
      <w:color w:val="272727" w:themeColor="text1" w:themeTint="D8"/>
    </w:rPr>
  </w:style>
  <w:style w:type="paragraph" w:styleId="Title">
    <w:name w:val="Title"/>
    <w:basedOn w:val="Normal"/>
    <w:next w:val="Normal"/>
    <w:link w:val="TitleChar"/>
    <w:uiPriority w:val="10"/>
    <w:qFormat/>
    <w:rsid w:val="00980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EB3"/>
    <w:pPr>
      <w:spacing w:before="160"/>
      <w:jc w:val="center"/>
    </w:pPr>
    <w:rPr>
      <w:i/>
      <w:iCs/>
      <w:color w:val="404040" w:themeColor="text1" w:themeTint="BF"/>
    </w:rPr>
  </w:style>
  <w:style w:type="character" w:customStyle="1" w:styleId="QuoteChar">
    <w:name w:val="Quote Char"/>
    <w:basedOn w:val="DefaultParagraphFont"/>
    <w:link w:val="Quote"/>
    <w:uiPriority w:val="29"/>
    <w:rsid w:val="00980EB3"/>
    <w:rPr>
      <w:i/>
      <w:iCs/>
      <w:color w:val="404040" w:themeColor="text1" w:themeTint="BF"/>
    </w:rPr>
  </w:style>
  <w:style w:type="paragraph" w:styleId="ListParagraph">
    <w:name w:val="List Paragraph"/>
    <w:basedOn w:val="Normal"/>
    <w:uiPriority w:val="34"/>
    <w:qFormat/>
    <w:rsid w:val="00980EB3"/>
    <w:pPr>
      <w:ind w:left="720"/>
      <w:contextualSpacing/>
    </w:pPr>
  </w:style>
  <w:style w:type="character" w:styleId="IntenseEmphasis">
    <w:name w:val="Intense Emphasis"/>
    <w:basedOn w:val="DefaultParagraphFont"/>
    <w:uiPriority w:val="21"/>
    <w:qFormat/>
    <w:rsid w:val="00980EB3"/>
    <w:rPr>
      <w:i/>
      <w:iCs/>
      <w:color w:val="0F4761" w:themeColor="accent1" w:themeShade="BF"/>
    </w:rPr>
  </w:style>
  <w:style w:type="paragraph" w:styleId="IntenseQuote">
    <w:name w:val="Intense Quote"/>
    <w:basedOn w:val="Normal"/>
    <w:next w:val="Normal"/>
    <w:link w:val="IntenseQuoteChar"/>
    <w:uiPriority w:val="30"/>
    <w:qFormat/>
    <w:rsid w:val="00980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EB3"/>
    <w:rPr>
      <w:i/>
      <w:iCs/>
      <w:color w:val="0F4761" w:themeColor="accent1" w:themeShade="BF"/>
    </w:rPr>
  </w:style>
  <w:style w:type="character" w:styleId="IntenseReference">
    <w:name w:val="Intense Reference"/>
    <w:basedOn w:val="DefaultParagraphFont"/>
    <w:uiPriority w:val="32"/>
    <w:qFormat/>
    <w:rsid w:val="00980E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087528">
      <w:bodyDiv w:val="1"/>
      <w:marLeft w:val="0"/>
      <w:marRight w:val="0"/>
      <w:marTop w:val="0"/>
      <w:marBottom w:val="0"/>
      <w:divBdr>
        <w:top w:val="none" w:sz="0" w:space="0" w:color="auto"/>
        <w:left w:val="none" w:sz="0" w:space="0" w:color="auto"/>
        <w:bottom w:val="none" w:sz="0" w:space="0" w:color="auto"/>
        <w:right w:val="none" w:sz="0" w:space="0" w:color="auto"/>
      </w:divBdr>
    </w:div>
    <w:div w:id="93941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Valerie</dc:creator>
  <cp:keywords/>
  <dc:description/>
  <cp:lastModifiedBy>Vera, Valerie</cp:lastModifiedBy>
  <cp:revision>1</cp:revision>
  <dcterms:created xsi:type="dcterms:W3CDTF">2025-05-08T13:31:00Z</dcterms:created>
  <dcterms:modified xsi:type="dcterms:W3CDTF">2025-05-08T13:35:00Z</dcterms:modified>
</cp:coreProperties>
</file>