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Модель конкуренции двух фирм</w:t>
      </w:r>
    </w:p>
    <w:p>
      <w:pPr>
        <w:pStyle w:val="Author"/>
      </w:pPr>
      <w:r>
        <w:t xml:space="preserve">Малюга Валерия Васильевна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Освоить моделирование конкуренции двух фирм на основе системы дифференциальных уравнений, описывающих динамику оборотных средств.</w:t>
      </w:r>
    </w:p>
    <w:p>
      <w:pPr>
        <w:pStyle w:val="Compact"/>
        <w:numPr>
          <w:ilvl w:val="0"/>
          <w:numId w:val="1001"/>
        </w:numPr>
      </w:pPr>
      <w:r>
        <w:t xml:space="preserve">Реализовать численное решение для двух сценариев:</w:t>
      </w:r>
      <w:r>
        <w:t xml:space="preserve"> </w:t>
      </w:r>
      <w:r>
        <w:rPr>
          <w:b/>
          <w:bCs/>
        </w:rPr>
        <w:t xml:space="preserve">случай 1</w:t>
      </w:r>
      <w:r>
        <w:t xml:space="preserve"> </w:t>
      </w:r>
      <w:r>
        <w:t xml:space="preserve">– только рыночная конкуренция (ценообразование через баланс спроса и предложения);</w:t>
      </w:r>
      <w:r>
        <w:t xml:space="preserve"> </w:t>
      </w:r>
      <w:r>
        <w:rPr>
          <w:b/>
          <w:bCs/>
        </w:rPr>
        <w:t xml:space="preserve">случай 2</w:t>
      </w:r>
      <w:r>
        <w:t xml:space="preserve"> </w:t>
      </w:r>
      <w:r>
        <w:t xml:space="preserve">– дополнительное влияние социально-психологического фактора (формирование предпочтений).</w:t>
      </w:r>
    </w:p>
    <w:p>
      <w:pPr>
        <w:pStyle w:val="Compact"/>
        <w:numPr>
          <w:ilvl w:val="0"/>
          <w:numId w:val="1001"/>
        </w:numPr>
      </w:pPr>
      <w:r>
        <w:t xml:space="preserve">Провести параметрические исследования для заданных начальных условий и технико-экономических параметров (вариант 1).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оборотных средств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для обоих случаев.</w:t>
      </w:r>
    </w:p>
    <w:p>
      <w:pPr>
        <w:pStyle w:val="Compact"/>
        <w:numPr>
          <w:ilvl w:val="0"/>
          <w:numId w:val="1001"/>
        </w:numPr>
      </w:pPr>
      <w:r>
        <w:t xml:space="preserve">Найти стационарное состояние системы для первого случая и проанализировать его устойчивость.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 (Literate.jl), сгенерировать чистые скрипты, Jupyter-ноутбуки и Quarto-документы.</w:t>
      </w:r>
    </w:p>
    <w:p>
      <w:pPr>
        <w:pStyle w:val="Compact"/>
        <w:numPr>
          <w:ilvl w:val="0"/>
          <w:numId w:val="1001"/>
        </w:numPr>
      </w:pPr>
      <w:r>
        <w:t xml:space="preserve">Подготовить отчёт с графиками, таблицами и встроенной документацией.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каталог для кода с использованием DrWatson, установить необходимые пакеты Julia (DifferentialEquations, Plots, DataFrames, JLD2, Symbolics, Literate).</w:t>
      </w:r>
    </w:p>
    <w:p>
      <w:pPr>
        <w:pStyle w:val="Compact"/>
        <w:numPr>
          <w:ilvl w:val="0"/>
          <w:numId w:val="1002"/>
        </w:numPr>
      </w:pPr>
      <w:r>
        <w:t xml:space="preserve">Реализовать скрипт для моделирования двух конкурирующих фирм с идентичным товаром (вариант 1).</w:t>
      </w:r>
    </w:p>
    <w:p>
      <w:pPr>
        <w:pStyle w:val="Compact"/>
        <w:numPr>
          <w:ilvl w:val="0"/>
          <w:numId w:val="1002"/>
        </w:numPr>
      </w:pPr>
      <w:r>
        <w:t xml:space="preserve">Вычислить коэффициенты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по формулам: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Для случая 1 решить систему: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Для случая 2 изменить коэффициент при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 первом уравнении: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→</m:t>
        </m:r>
        <m:f>
          <m:fPr>
            <m:type m:val="bar"/>
          </m:fPr>
          <m:num>
            <m:r>
              <m:t>b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r>
          <m:t>0.001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Построить графики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для обоих случаев.</w:t>
      </w:r>
    </w:p>
    <w:p>
      <w:pPr>
        <w:pStyle w:val="Compact"/>
        <w:numPr>
          <w:ilvl w:val="0"/>
          <w:numId w:val="1002"/>
        </w:numPr>
      </w:pPr>
      <w:r>
        <w:t xml:space="preserve">Найти стационарное состояние системы для случая 1.</w:t>
      </w:r>
    </w:p>
    <w:p>
      <w:pPr>
        <w:pStyle w:val="Compact"/>
        <w:numPr>
          <w:ilvl w:val="0"/>
          <w:numId w:val="1002"/>
        </w:numPr>
      </w:pPr>
      <w:r>
        <w:t xml:space="preserve">Проанализировать полученные результаты.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одель-одной-фирмы"/>
    <w:p>
      <w:pPr>
        <w:pStyle w:val="Heading2"/>
      </w:pPr>
      <w:r>
        <w:t xml:space="preserve">3.1 Модель одной фирмы</w:t>
      </w:r>
    </w:p>
    <w:p>
      <w:pPr>
        <w:pStyle w:val="FirstParagraph"/>
      </w:pPr>
      <w:r>
        <w:t xml:space="preserve">В основе модели лежит представление о фирме, производящей продукт длительного пользования. Цена определяется балансом спроса и предложения. Функция спроса имеет вид</w:t>
      </w:r>
      <w:r>
        <w:t xml:space="preserve"> </w:t>
      </w:r>
      <w:r>
        <w:t xml:space="preserve">[1,2]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– максимальная потребность одного потребителя,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– критическая цена (при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спрос падает до нуля).</w:t>
      </w:r>
    </w:p>
    <w:p>
      <w:pPr>
        <w:pStyle w:val="BodyText"/>
      </w:pPr>
      <w:r>
        <w:t xml:space="preserve">Динамика оборотных средств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описывается уравнением</w:t>
      </w:r>
      <w:r>
        <w:t xml:space="preserve"> </w:t>
      </w:r>
      <w:r>
        <w:t xml:space="preserve">[3,4]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M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r>
                <m:t>δ</m:t>
              </m:r>
            </m:num>
            <m:den>
              <m:r>
                <m:t>τ</m:t>
              </m:r>
            </m:den>
          </m:f>
          <m:r>
            <m:rPr>
              <m:sty m:val="p"/>
            </m:rPr>
            <m:t>+</m:t>
          </m:r>
          <m:r>
            <m:t>N</m:t>
          </m:r>
          <m:r>
            <m:t>Q</m:t>
          </m:r>
          <m:r>
            <m:t>p</m:t>
          </m:r>
          <m:r>
            <m:rPr>
              <m:sty m:val="p"/>
            </m:rPr>
            <m:t>−</m:t>
          </m:r>
          <m:r>
            <m:t>κ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цена быстро подстраивается к равновесному значению, что позволяет выразить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через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и параметры производства.</w:t>
      </w:r>
    </w:p>
    <w:bookmarkEnd w:id="22"/>
    <w:bookmarkStart w:id="23" w:name="конкуренция-двух-фирм"/>
    <w:p>
      <w:pPr>
        <w:pStyle w:val="Heading2"/>
      </w:pPr>
      <w:r>
        <w:t xml:space="preserve">3.2 Конкуренция двух фирм</w:t>
      </w:r>
    </w:p>
    <w:p>
      <w:pPr>
        <w:pStyle w:val="FirstParagraph"/>
      </w:pPr>
      <w:r>
        <w:t xml:space="preserve">Для двух фирм, выпускающих взаимозаменяемые товары одинакового качества, на рынке устанавливается единая цена</w:t>
      </w:r>
      <w:r>
        <w:t xml:space="preserve"> </w:t>
      </w:r>
      <m:oMath>
        <m:r>
          <m:t>p</m:t>
        </m:r>
      </m:oMath>
      <w:r>
        <w:t xml:space="preserve">, определяемая суммарным предложением. В предположении быстрого достижения ценового равновесия получается система дифференциальных уравнений относительно оборотных средств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[5,6]</w:t>
      </w:r>
      <w:r>
        <w:t xml:space="preserve">. После нормировки времени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t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 пренебрежения постоянными издержками (</w:t>
      </w:r>
      <m:oMath>
        <m:sSub>
          <m:e>
            <m:r>
              <m:t>κ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κ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приходим к системе вида (случай 1)</w:t>
      </w:r>
      <w:r>
        <w:t xml:space="preserve"> </w:t>
      </w:r>
      <w:r>
        <w:t xml:space="preserve">[7,8]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Коэффициенты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выражаются через технологические параметры фирм (</w:t>
      </w:r>
      <m:oMath>
        <m:sSub>
          <m:e>
            <m:r>
              <m:t>τ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i</m:t>
            </m:r>
          </m:sub>
        </m:sSub>
      </m:oMath>
      <w:r>
        <w:t xml:space="preserve">) и рыночные характеристики (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q</m:t>
        </m:r>
      </m:oMath>
      <w:r>
        <w:t xml:space="preserve">). Случай 2 вводит дополнительное слагаемое</w:t>
      </w:r>
      <w:r>
        <w:t xml:space="preserve"> </w:t>
      </w:r>
      <m:oMath>
        <m:r>
          <m:rPr>
            <m:sty m:val="p"/>
          </m:rPr>
          <m:t>−</m:t>
        </m:r>
        <m:r>
          <m:t>ε</m:t>
        </m:r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) в первое уравнение, моделируя социально-психологическое предпочтение товара второй фирмы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Стационарные состояния находятся из условия</w:t>
      </w:r>
      <w:r>
        <w:t xml:space="preserve"> </w:t>
      </w:r>
      <m:oMath>
        <m:r>
          <m:t>d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d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Для случая 1 аналитическое решение имеет вид: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num>
            <m:den>
              <m:r>
                <m:t>b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</m:t>
          </m:r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Sup>
                <m:e>
                  <m:r>
                    <m:t>M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num>
            <m:den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m:t>.</m:t>
          </m:r>
        </m:oMath>
      </m:oMathPara>
    </w:p>
    <w:bookmarkEnd w:id="23"/>
    <w:bookmarkEnd w:id="24"/>
    <w:bookmarkStart w:id="5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5" w:name="подготовка-рабочего-пространства"/>
    <w:p>
      <w:pPr>
        <w:pStyle w:val="Heading2"/>
      </w:pPr>
      <w:r>
        <w:t xml:space="preserve">4.1 Подготовка рабочего пространства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labs/lab08</w:t>
      </w:r>
      <w:r>
        <w:t xml:space="preserve"> </w:t>
      </w:r>
      <w:r>
        <w:t xml:space="preserve">создан проект DrWatson</w:t>
      </w:r>
      <w:r>
        <w:t xml:space="preserve"> </w:t>
      </w:r>
      <w:r>
        <w:rPr>
          <w:rStyle w:val="VerbatimChar"/>
        </w:rPr>
        <w:t xml:space="preserve">firm_competition</w:t>
      </w:r>
      <w:r>
        <w:t xml:space="preserve">. Установлены пакеты: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DifferentialEquations</w:t>
      </w:r>
      <w:r>
        <w:t xml:space="preserve"> </w:t>
      </w:r>
      <w:r>
        <w:t xml:space="preserve">– численное решение ОДУ;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– визуализация;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JLD2</w:t>
      </w:r>
      <w:r>
        <w:t xml:space="preserve"> </w:t>
      </w:r>
      <w:r>
        <w:t xml:space="preserve">– работа с данными;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Symbolics</w:t>
      </w:r>
      <w:r>
        <w:t xml:space="preserve"> </w:t>
      </w:r>
      <w:r>
        <w:t xml:space="preserve">– символьное нахождение стационарных точек;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 </w:t>
      </w:r>
      <w:r>
        <w:t xml:space="preserve">– литературное программирование.</w:t>
      </w:r>
    </w:p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scripts/lab08_firm_competition.jl</w:t>
      </w:r>
      <w:r>
        <w:t xml:space="preserve"> </w:t>
      </w:r>
      <w:r>
        <w:t xml:space="preserve">реализует оба сценария. Все расчёты выполнены на Julia 1.10</w:t>
      </w:r>
      <w:r>
        <w:t xml:space="preserve"> </w:t>
      </w:r>
      <w:r>
        <w:t xml:space="preserve">[10,11]</w:t>
      </w:r>
      <w:r>
        <w:t xml:space="preserve"> </w:t>
      </w:r>
      <w:r>
        <w:t xml:space="preserve">с использованием DrWatson</w:t>
      </w:r>
      <w:r>
        <w:t xml:space="preserve"> </w:t>
      </w:r>
      <w:r>
        <w:t xml:space="preserve">[12]</w:t>
      </w:r>
      <w:r>
        <w:t xml:space="preserve"> </w:t>
      </w:r>
      <w:r>
        <w:t xml:space="preserve">и Literate.jl</w:t>
      </w:r>
      <w:r>
        <w:t xml:space="preserve"> </w:t>
      </w:r>
      <w:r>
        <w:t xml:space="preserve">[13–15]</w:t>
      </w:r>
      <w:r>
        <w:t xml:space="preserve">.</w:t>
      </w:r>
    </w:p>
    <w:bookmarkEnd w:id="25"/>
    <w:bookmarkStart w:id="26" w:name="параметры-варианта-1"/>
    <w:p>
      <w:pPr>
        <w:pStyle w:val="Heading2"/>
      </w:pPr>
      <w:r>
        <w:t xml:space="preserve">4.2 Параметры варианта 1</w:t>
      </w:r>
    </w:p>
    <w:p>
      <w:pPr>
        <w:pStyle w:val="FirstParagraph"/>
      </w:pPr>
      <w:r>
        <w:t xml:space="preserve">Параметры из задания: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17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14</m:t>
        </m:r>
      </m:oMath>
      <w:r>
        <w:t xml:space="preserve">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млн,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млн.</w:t>
      </w:r>
    </w:p>
    <w:p>
      <w:pPr>
        <w:pStyle w:val="BodyText"/>
      </w:pPr>
      <w:r>
        <w:t xml:space="preserve">Вычисленные коэффициенты: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8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r>
              <m:t>17</m:t>
            </m:r>
          </m:e>
        </m:d>
        <m:r>
          <m:rPr>
            <m:sty m:val="p"/>
          </m:rPr>
          <m:t>≈</m:t>
        </m:r>
        <m:r>
          <m:t>0.000114</m:t>
        </m:r>
      </m:oMath>
      <w:r>
        <w:t xml:space="preserve">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6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r>
              <m:t>17</m:t>
            </m:r>
          </m:e>
        </m:d>
        <m:r>
          <m:rPr>
            <m:sty m:val="p"/>
          </m:rPr>
          <m:t>≈</m:t>
        </m:r>
        <m:r>
          <m:t>0.000125</m:t>
        </m:r>
      </m:oMath>
      <w:r>
        <w:t xml:space="preserve">;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11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8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14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6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r>
              <m:t>17</m:t>
            </m:r>
          </m:e>
        </m:d>
        <m:r>
          <m:rPr>
            <m:sty m:val="p"/>
          </m:rPr>
          <m:t>≈</m:t>
        </m:r>
        <m:r>
          <m:t>1.62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−</m:t>
            </m:r>
            <m:r>
              <m:t>8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11</m:t>
            </m:r>
            <m:r>
              <m:rPr>
                <m:sty m:val="p"/>
              </m:rPr>
              <m:t>⋅</m:t>
            </m:r>
            <m:r>
              <m:t>8</m:t>
            </m:r>
          </m:e>
        </m:d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88</m:t>
        </m:r>
        <m:r>
          <m:rPr>
            <m:sty m:val="p"/>
          </m:rPr>
          <m:t>≈</m:t>
        </m:r>
        <m:r>
          <m:t>0.07955</m:t>
        </m:r>
      </m:oMath>
      <w:r>
        <w:t xml:space="preserve">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14</m:t>
            </m:r>
            <m:r>
              <m:rPr>
                <m:sty m:val="p"/>
              </m:rPr>
              <m:t>⋅</m:t>
            </m:r>
            <m:r>
              <m:t>6</m:t>
            </m:r>
          </m:e>
        </m:d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t>84</m:t>
        </m:r>
        <m:r>
          <m:rPr>
            <m:sty m:val="p"/>
          </m:rPr>
          <m:t>=</m:t>
        </m:r>
        <m:r>
          <m:t>0.10714</m:t>
        </m:r>
      </m:oMath>
      <w:r>
        <w:t xml:space="preserve">.</w:t>
      </w:r>
    </w:p>
    <w:bookmarkEnd w:id="26"/>
    <w:bookmarkStart w:id="31" w:name="случай-1-только-рыночная-конкуренция"/>
    <w:p>
      <w:pPr>
        <w:pStyle w:val="Heading2"/>
      </w:pPr>
      <w:r>
        <w:t xml:space="preserve">4.3 Случай 1: только рыночная конкуренция</w:t>
      </w:r>
    </w:p>
    <w:p>
      <w:pPr>
        <w:pStyle w:val="FirstParagraph"/>
      </w:pPr>
      <w:r>
        <w:t xml:space="preserve">Система решена методом Циттара–Дорманда (</w:t>
      </w:r>
      <w:r>
        <w:rPr>
          <w:rStyle w:val="VerbatimChar"/>
        </w:rPr>
        <w:t xml:space="preserve">Tsit5()</w:t>
      </w:r>
      <w:r>
        <w:t xml:space="preserve">) на интервале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30</m:t>
            </m:r>
          </m:e>
        </m:d>
      </m:oMath>
      <w:r>
        <w:t xml:space="preserve"> </w:t>
      </w:r>
      <w:r>
        <w:t xml:space="preserve">с шагом вывода</w:t>
      </w:r>
      <w:r>
        <w:t xml:space="preserve"> </w:t>
      </w:r>
      <m:oMath>
        <m:r>
          <m:t>0.1</m:t>
        </m:r>
      </m:oMath>
      <w:r>
        <w:t xml:space="preserve">. Графики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приведены на рис.</w:t>
      </w:r>
      <w:r>
        <w:t xml:space="preserve"> </w:t>
      </w:r>
      <w:hyperlink w:anchor="fig-case1">
        <w:r>
          <w:rPr>
            <w:rStyle w:val="Hyperlink"/>
          </w:rPr>
          <w:t xml:space="preserve">Рисунок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case1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case1_curves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Динамика оборотных средств для случая 1</w:t>
            </w:r>
          </w:p>
          <w:bookmarkEnd w:id="30"/>
        </w:tc>
      </w:tr>
    </w:tbl>
    <w:p>
      <w:pPr>
        <w:pStyle w:val="BodyText"/>
      </w:pPr>
      <w:r>
        <w:rPr>
          <w:b/>
          <w:bCs/>
        </w:rPr>
        <w:t xml:space="preserve">Наблюдения:</w:t>
      </w:r>
      <w:r>
        <w:t xml:space="preserve"> </w:t>
      </w:r>
      <w:r>
        <w:t xml:space="preserve">Обе фирмы выходят на стационарные уровни. Фирма 2 (с меньшей себестоимостью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8</m:t>
        </m:r>
      </m:oMath>
      <w:r>
        <w:t xml:space="preserve">) достигает большего значения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37.8</m:t>
        </m:r>
      </m:oMath>
      <w:r>
        <w:t xml:space="preserve"> </w:t>
      </w:r>
      <w:r>
        <w:t xml:space="preserve">млн, тогда как фирма 1 останавливается на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21.7</m:t>
        </m:r>
      </m:oMath>
      <w:r>
        <w:t xml:space="preserve"> </w:t>
      </w:r>
      <w:r>
        <w:t xml:space="preserve">млн. Перекрёстное влияние (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) в каждом уравнении одинаково (</w:t>
      </w:r>
      <m:oMath>
        <m:r>
          <m:t>b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), поэтому фирмы не вытесняют друг друга, а делят рынок.</w:t>
      </w:r>
    </w:p>
    <w:bookmarkEnd w:id="31"/>
    <w:bookmarkStart w:id="32" w:name="стационарное-состояние-для-случая-1"/>
    <w:p>
      <w:pPr>
        <w:pStyle w:val="Heading2"/>
      </w:pPr>
      <w:r>
        <w:t xml:space="preserve">4.4 Стационарное состояние для случая 1</w:t>
      </w:r>
    </w:p>
    <w:p>
      <w:pPr>
        <w:pStyle w:val="FirstParagraph"/>
      </w:pPr>
      <w:r>
        <w:t xml:space="preserve">Приравнивая производные к нулю и решая систему относительно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, получаем: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≈</m:t>
          </m:r>
          <m:r>
            <m:t>21.732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≈</m:t>
          </m:r>
          <m:r>
            <m:t>37.845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устойчивый узел, что подтверждается анализом линеаризованной матрицы (собственные значения отрицательны). При малых отклонениях система возвращается к равновесию.</w:t>
      </w:r>
    </w:p>
    <w:bookmarkEnd w:id="32"/>
    <w:bookmarkStart w:id="37" w:name="X63ea049d962f44142ff8858c271110219a66d70"/>
    <w:p>
      <w:pPr>
        <w:pStyle w:val="Heading2"/>
      </w:pPr>
      <w:r>
        <w:t xml:space="preserve">4.5 Случай 2: с социально-психологическим фактором</w:t>
      </w:r>
    </w:p>
    <w:p>
      <w:pPr>
        <w:pStyle w:val="FirstParagraph"/>
      </w:pPr>
      <w:r>
        <w:t xml:space="preserve">В первом уравнении добавляется</w:t>
      </w:r>
      <w:r>
        <w:t xml:space="preserve"> </w:t>
      </w:r>
      <m:oMath>
        <m:r>
          <m:rPr>
            <m:sty m:val="p"/>
          </m:rPr>
          <m:t>−</m:t>
        </m:r>
        <m:r>
          <m:t>0.001</m:t>
        </m:r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(т.е.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→</m:t>
        </m:r>
        <m:f>
          <m:fPr>
            <m:type m:val="bar"/>
          </m:fPr>
          <m:num>
            <m:r>
              <m:t>b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r>
          <m:t>0.001</m:t>
        </m:r>
      </m:oMath>
      <w:r>
        <w:t xml:space="preserve">). График на рис.</w:t>
      </w:r>
      <w:r>
        <w:t xml:space="preserve"> </w:t>
      </w:r>
      <w:hyperlink w:anchor="fig-case2">
        <w:r>
          <w:rPr>
            <w:rStyle w:val="Hyperlink"/>
          </w:rPr>
          <w:t xml:space="preserve">Рисунок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case2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case2_curves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Динамика оборотных средств для случая 2</w:t>
            </w:r>
          </w:p>
          <w:bookmarkEnd w:id="36"/>
        </w:tc>
      </w:tr>
    </w:tbl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Фирма 1 сначала растёт, но из-за усиленного отрицательного перекрёстного члена её оборотные средства достигают максимума (</w:t>
      </w:r>
      <m:oMath>
        <m:r>
          <m:rPr>
            <m:sty m:val="p"/>
          </m:rPr>
          <m:t>≈</m:t>
        </m:r>
        <m:r>
          <m:t>6</m:t>
        </m:r>
      </m:oMath>
      <w:r>
        <w:t xml:space="preserve"> </w:t>
      </w:r>
      <w:r>
        <w:t xml:space="preserve">млн) и затем падают до нуля. Фирма 2 выходит на тот же стационарный уровень, что и в случае 1 (</w:t>
      </w:r>
      <m:oMath>
        <m:sSubSup>
          <m:e>
            <m:r>
              <m:t>M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≈</m:t>
        </m:r>
        <m:r>
          <m:t>37.8</m:t>
        </m:r>
      </m:oMath>
      <w:r>
        <w:t xml:space="preserve">). Таким образом, социально-психологический фактор приводит к банкротству фирмы 1 при сохранении фирмы 2. Это соответствует известным моделям конкуренции с сетевыми эффектами или предпочтениями потребителей</w:t>
      </w:r>
      <w:r>
        <w:t xml:space="preserve"> </w:t>
      </w:r>
      <w:r>
        <w:t xml:space="preserve">[2,5]</w:t>
      </w:r>
      <w:r>
        <w:t xml:space="preserve">.</w:t>
      </w:r>
    </w:p>
    <w:bookmarkEnd w:id="37"/>
    <w:bookmarkStart w:id="38" w:name="сравнение-с-аналитическими-ожиданиями"/>
    <w:p>
      <w:pPr>
        <w:pStyle w:val="Heading2"/>
      </w:pPr>
      <w:r>
        <w:t xml:space="preserve">4.6 Сравнение с аналитическими ожиданиями</w:t>
      </w:r>
    </w:p>
    <w:p>
      <w:pPr>
        <w:pStyle w:val="FirstParagraph"/>
      </w:pPr>
      <w:r>
        <w:t xml:space="preserve">Для случая 1 решение системы (15) из лабораторной работы предсказывает, что при</w:t>
      </w:r>
      <w:r>
        <w:t xml:space="preserve"> </w:t>
      </w:r>
      <m:oMath>
        <m:r>
          <m:t>b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равновесие существует и единственно. Полученные численно</w:t>
      </w:r>
      <w:r>
        <w:t xml:space="preserve"> </w:t>
      </w:r>
      <m:oMath>
        <m:sSubSup>
          <m:e>
            <m:r>
              <m:t>M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M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согласуются с формулами, выведенными в разделе «Теоретическое введение».</w:t>
      </w:r>
    </w:p>
    <w:bookmarkEnd w:id="38"/>
    <w:bookmarkStart w:id="49" w:name="реализация-скриптов"/>
    <w:p>
      <w:pPr>
        <w:pStyle w:val="Heading2"/>
      </w:pPr>
      <w:r>
        <w:t xml:space="preserve">4.7 Реализация скриптов</w:t>
      </w:r>
    </w:p>
    <w:p>
      <w:pPr>
        <w:pStyle w:val="FirstParagraph"/>
      </w:pPr>
      <w:r>
        <w:t xml:space="preserve">Ниже приведён листинг программы, оформленный в стиле литературного программирования, из которого сгенерированы чистые скрипты, Jupyter-ноутбуки и Quarto-документы.</w:t>
      </w:r>
    </w:p>
    <w:bookmarkStart w:id="48" w:name="модель-конкуренции-двух-фирм-вариант-1"/>
    <w:p>
      <w:pPr>
        <w:pStyle w:val="Heading3"/>
      </w:pPr>
      <w:r>
        <w:t xml:space="preserve">4.7.1 Модель конкуренции двух фирм (Вариант 1)</w:t>
      </w:r>
    </w:p>
    <w:p>
      <w:pPr>
        <w:pStyle w:val="FirstParagraph"/>
      </w:pPr>
      <w:r>
        <w:t xml:space="preserve">Динамика оборотных средств фирм описывается системой: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вычисляются по формулам (см. лабораторную работу).</w:t>
      </w:r>
    </w:p>
    <w:bookmarkStart w:id="39" w:name="подключение-пакетов-и-активация-проекта"/>
    <w:p>
      <w:pPr>
        <w:pStyle w:val="Heading4"/>
      </w:pPr>
      <w:r>
        <w:t xml:space="preserve">4.7.1.1 Подключение пакетов и активация проекта</w:t>
      </w:r>
    </w:p>
    <w:p>
      <w:pPr>
        <w:pStyle w:val="FirstParagraph"/>
      </w:pPr>
      <w:r>
        <w:t xml:space="preserve">Каталог для сохранения графиков и данных</w:t>
      </w:r>
    </w:p>
    <w:bookmarkEnd w:id="39"/>
    <w:bookmarkStart w:id="40" w:name="параметры-варианта-1-1"/>
    <w:p>
      <w:pPr>
        <w:pStyle w:val="Heading4"/>
      </w:pPr>
      <w:r>
        <w:t xml:space="preserve">4.7.1.2 Параметры варианта 1</w:t>
      </w:r>
    </w:p>
    <w:bookmarkEnd w:id="40"/>
    <w:bookmarkStart w:id="41" w:name="вычисление-коэффициентов-a1-a2-b-c1-c2"/>
    <w:p>
      <w:pPr>
        <w:pStyle w:val="Heading4"/>
      </w:pPr>
      <w:r>
        <w:t xml:space="preserve">4.7.1.3 Вычисление коэффициентов a1, a2, b, c1, c2</w:t>
      </w:r>
    </w:p>
    <w:bookmarkEnd w:id="41"/>
    <w:bookmarkStart w:id="42" w:name="функция-правой-части-для-случая-1"/>
    <w:p>
      <w:pPr>
        <w:pStyle w:val="Heading4"/>
      </w:pPr>
      <w:r>
        <w:t xml:space="preserve">4.7.1.4 Функция правой части для случая 1</w:t>
      </w:r>
    </w:p>
    <w:bookmarkEnd w:id="42"/>
    <w:bookmarkStart w:id="43" w:name="X2340f91018f98b1f611222915cca5026e40e3a4"/>
    <w:p>
      <w:pPr>
        <w:pStyle w:val="Heading4"/>
      </w:pPr>
      <w:r>
        <w:t xml:space="preserve">4.7.1.5 Функция правой части для случая 2 (доп. коэффициент 0.001)</w:t>
      </w:r>
    </w:p>
    <w:bookmarkEnd w:id="43"/>
    <w:bookmarkStart w:id="44" w:name="временной-интервал-и-решение"/>
    <w:p>
      <w:pPr>
        <w:pStyle w:val="Heading4"/>
      </w:pPr>
      <w:r>
        <w:t xml:space="preserve">4.7.1.6 Временной интервал и решение</w:t>
      </w:r>
    </w:p>
    <w:p>
      <w:pPr>
        <w:pStyle w:val="FirstParagraph"/>
      </w:pPr>
      <w:r>
        <w:t xml:space="preserve">Решение для случая 1</w:t>
      </w:r>
    </w:p>
    <w:p>
      <w:pPr>
        <w:pStyle w:val="BodyText"/>
      </w:pPr>
      <w:r>
        <w:t xml:space="preserve">Решение для случая 2</w:t>
      </w:r>
    </w:p>
    <w:bookmarkEnd w:id="44"/>
    <w:bookmarkStart w:id="45" w:name="построение-графиков"/>
    <w:p>
      <w:pPr>
        <w:pStyle w:val="Heading4"/>
      </w:pPr>
      <w:r>
        <w:t xml:space="preserve">4.7.1.7 Построение графиков</w:t>
      </w:r>
    </w:p>
    <w:p>
      <w:pPr>
        <w:pStyle w:val="FirstParagraph"/>
      </w:pPr>
      <w:r>
        <w:t xml:space="preserve">Случай 1</w:t>
      </w:r>
    </w:p>
    <w:p>
      <w:pPr>
        <w:pStyle w:val="BodyText"/>
      </w:pPr>
      <w:r>
        <w:t xml:space="preserve">Случай 2</w:t>
      </w:r>
    </w:p>
    <w:bookmarkEnd w:id="45"/>
    <w:bookmarkStart w:id="46" w:name="стационарные-состояния-для-случая-1"/>
    <w:p>
      <w:pPr>
        <w:pStyle w:val="Heading4"/>
      </w:pPr>
      <w:r>
        <w:t xml:space="preserve">4.7.1.8 Стационарные состояния для случая 1</w:t>
      </w:r>
    </w:p>
    <w:p>
      <w:pPr>
        <w:pStyle w:val="FirstParagraph"/>
      </w:pPr>
      <w:r>
        <w:t xml:space="preserve">После деления на M1 и M2 (ненулевые) получаем линейную систему:</w:t>
      </w:r>
      <w:r>
        <w:t xml:space="preserve"> </w:t>
      </w:r>
      <w:r>
        <w:t xml:space="preserve">1 - (b/c1) M2 - (a1/c1) M1 = 0</w:t>
      </w:r>
      <w:r>
        <w:t xml:space="preserve"> </w:t>
      </w:r>
      <w:r>
        <w:t xml:space="preserve">(c2/c1) - (b/c1) M1 - (a2/c1) M2 = 0</w:t>
      </w:r>
      <w:r>
        <w:t xml:space="preserve"> </w:t>
      </w:r>
      <w:r>
        <w:t xml:space="preserve">Перепишем в матричном виде:</w:t>
      </w:r>
      <w:r>
        <w:t xml:space="preserve"> </w:t>
      </w:r>
      <w:r>
        <w:t xml:space="preserve">(a1/c1) * M1 + (b/c1) * M2 = 1</w:t>
      </w:r>
      <w:r>
        <w:t xml:space="preserve"> </w:t>
      </w:r>
      <w:r>
        <w:t xml:space="preserve">(b/c1) * M1 + (a2/c1) * M2 = c2/c1</w:t>
      </w:r>
    </w:p>
    <w:bookmarkEnd w:id="46"/>
    <w:bookmarkStart w:id="47" w:name="сохранение-всех-результатов"/>
    <w:p>
      <w:pPr>
        <w:pStyle w:val="Heading4"/>
      </w:pPr>
      <w:r>
        <w:t xml:space="preserve">4.7.1.9 Сохранение всех результатов</w:t>
      </w:r>
    </w:p>
    <w:bookmarkEnd w:id="47"/>
    <w:bookmarkEnd w:id="48"/>
    <w:bookmarkEnd w:id="49"/>
    <w:bookmarkEnd w:id="50"/>
    <w:bookmarkStart w:id="5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№8:</w:t>
      </w:r>
    </w:p>
    <w:p>
      <w:pPr>
        <w:pStyle w:val="Compact"/>
        <w:numPr>
          <w:ilvl w:val="0"/>
          <w:numId w:val="1003"/>
        </w:numPr>
      </w:pPr>
      <w:r>
        <w:t xml:space="preserve">Реализована математическая модель конкуренции двух фирм, производящих взаимозаменяемый товар, на языке Julia с использованием дифференциальных уравнений.</w:t>
      </w:r>
    </w:p>
    <w:p>
      <w:pPr>
        <w:pStyle w:val="Compact"/>
        <w:numPr>
          <w:ilvl w:val="0"/>
          <w:numId w:val="1003"/>
        </w:numPr>
      </w:pPr>
      <w:r>
        <w:t xml:space="preserve">Для заданных параметров (вариант 1) получены и проанализированы траектории изменения оборотных средств в двух случаях: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чисто рыночная конкуренция</w:t>
      </w:r>
      <w:r>
        <w:t xml:space="preserve"> </w:t>
      </w:r>
      <w:r>
        <w:t xml:space="preserve">– обе фирмы выживают, занимая свои ниши;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социально-психологическое предпочтение</w:t>
      </w:r>
      <w:r>
        <w:t xml:space="preserve"> </w:t>
      </w:r>
      <w:r>
        <w:t xml:space="preserve">(доп. член</w:t>
      </w:r>
      <w:r>
        <w:t xml:space="preserve"> </w:t>
      </w:r>
      <m:oMath>
        <m:r>
          <m:rPr>
            <m:sty m:val="p"/>
          </m:rPr>
          <m:t>−</m:t>
        </m:r>
        <m:r>
          <m:t>0.001</m:t>
        </m:r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) – фирма 1 банкротится, фирма 2 сохраняет объём продаж.</w:t>
      </w:r>
    </w:p>
    <w:p>
      <w:pPr>
        <w:pStyle w:val="Compact"/>
        <w:numPr>
          <w:ilvl w:val="0"/>
          <w:numId w:val="1003"/>
        </w:numPr>
      </w:pPr>
      <w:r>
        <w:t xml:space="preserve">Найдено стационарное состояние системы для первого случая (</w:t>
      </w:r>
      <m:oMath>
        <m:sSubSup>
          <m:e>
            <m:r>
              <m:t>M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≈</m:t>
        </m:r>
        <m:r>
          <m:t>21.7</m:t>
        </m:r>
      </m:oMath>
      <w:r>
        <w:t xml:space="preserve">,</w:t>
      </w:r>
      <w:r>
        <w:t xml:space="preserve"> </w:t>
      </w:r>
      <m:oMath>
        <m:sSubSup>
          <m:e>
            <m:r>
              <m:t>M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≈</m:t>
        </m:r>
        <m:r>
          <m:t>37.8</m:t>
        </m:r>
      </m:oMath>
      <w:r>
        <w:t xml:space="preserve">), подтверждена его устойчивость.</w:t>
      </w:r>
    </w:p>
    <w:p>
      <w:pPr>
        <w:pStyle w:val="Compact"/>
        <w:numPr>
          <w:ilvl w:val="0"/>
          <w:numId w:val="1003"/>
        </w:numPr>
      </w:pPr>
      <w:r>
        <w:t xml:space="preserve">Построены графики динамики, оформленные в соответствии с требованиями литературного программирования.</w:t>
      </w:r>
    </w:p>
    <w:p>
      <w:pPr>
        <w:pStyle w:val="Compact"/>
        <w:numPr>
          <w:ilvl w:val="0"/>
          <w:numId w:val="1003"/>
        </w:numPr>
      </w:pPr>
      <w:r>
        <w:t xml:space="preserve">Все скрипты преобразованы в литературный стиль с помощью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, сгенерированы чистые скрипты, Jupyter-ноутбуки и Quarto-документы.</w:t>
      </w:r>
    </w:p>
    <w:p>
      <w:pPr>
        <w:pStyle w:val="Compact"/>
        <w:numPr>
          <w:ilvl w:val="0"/>
          <w:numId w:val="1003"/>
        </w:numPr>
      </w:pPr>
      <w:r>
        <w:t xml:space="preserve">Подготовлен итоговый отчёт в формате Quarto, содержащий все необходимые элементы и ссылки на литературу.</w:t>
      </w:r>
    </w:p>
    <w:p>
      <w:pPr>
        <w:pStyle w:val="FirstParagraph"/>
      </w:pPr>
      <w:r>
        <w:t xml:space="preserve">Полученные навыки могут быть использованы для моделирования конкурентных стратегий, анализа влияния рекламы и брендовых предпочтений на рыночные доли.</w:t>
      </w:r>
    </w:p>
    <w:bookmarkEnd w:id="51"/>
    <w:bookmarkStart w:id="72" w:name="список-литературы"/>
    <w:p>
      <w:pPr>
        <w:pStyle w:val="Heading1"/>
      </w:pPr>
      <w:r>
        <w:t xml:space="preserve">Список литературы</w:t>
      </w:r>
    </w:p>
    <w:bookmarkStart w:id="71" w:name="refs"/>
    <w:bookmarkStart w:id="52" w:name="ref-routh2017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Routh P. Differential Equations for Engineers and Scientists. Createspace Independent Publishing, 2017.</w:t>
      </w:r>
    </w:p>
    <w:bookmarkEnd w:id="52"/>
    <w:bookmarkStart w:id="53" w:name="ref-bezhaev2012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Бежаев А. Ю., Васин А. А. Математические модели конкуренции. Москва: ВЦ РАН, 2012.</w:t>
      </w:r>
    </w:p>
    <w:bookmarkEnd w:id="53"/>
    <w:bookmarkStart w:id="54" w:name="ref-lotka1925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Lotka A. J. Elements of Physical Biology // Williams &amp; Wilkins. Baltimore, 1925.</w:t>
      </w:r>
    </w:p>
    <w:bookmarkEnd w:id="54"/>
    <w:bookmarkStart w:id="55" w:name="ref-volterra1926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Volterra V. Variazioni e fluttuazioni del numero d’individui in specie animali conviventi // Mem. R. Accad. Naz. dei Lincei. 1926. Т. 2. С. 31–113.</w:t>
      </w:r>
    </w:p>
    <w:bookmarkEnd w:id="55"/>
    <w:bookmarkStart w:id="56" w:name="ref-tirol1988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Тироль Ж. Рынки и рыночная власть: теория организации промышленности. 1-е изд. Санкт-Петербург: Издательство СПбГУ, 1988.</w:t>
      </w:r>
    </w:p>
    <w:bookmarkEnd w:id="56"/>
    <w:bookmarkStart w:id="57" w:name="ref-gibbons1992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Gibbons R. Game Theory for Applied Economists. Princeton, NJ: Princeton University Press, 1992.</w:t>
      </w:r>
    </w:p>
    <w:bookmarkEnd w:id="57"/>
    <w:bookmarkStart w:id="58" w:name="ref-vasin2005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Васин А. А., Морозов В. В. Теория игр и модели математической экономики. Москва: МАКС Пресс, 2005.</w:t>
      </w:r>
    </w:p>
    <w:bookmarkEnd w:id="58"/>
    <w:bookmarkStart w:id="59" w:name="ref-petrosyan2009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Петросян Л. А., Зенкевич Н. А., Семина Е. А. Теория игр // Учебник для вузов. Москва: КноРус, 2009.</w:t>
      </w:r>
    </w:p>
    <w:bookmarkEnd w:id="59"/>
    <w:bookmarkStart w:id="60" w:name="ref-bezruchko2011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Безручко Б. П., Смирнов Д. А. Математическое моделирование и хаотические временные ряды. Саратов: Саратовский государственный университет, 2011.</w:t>
      </w:r>
    </w:p>
    <w:bookmarkEnd w:id="60"/>
    <w:bookmarkStart w:id="62" w:name="ref-julia2024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Julia Computing.</w:t>
      </w:r>
      <w:r>
        <w:t xml:space="preserve"> </w:t>
      </w:r>
      <w:hyperlink r:id="rId61">
        <w:r>
          <w:rPr>
            <w:rStyle w:val="Hyperlink"/>
          </w:rPr>
          <w:t xml:space="preserve">Julia Language Documentation</w:t>
        </w:r>
      </w:hyperlink>
      <w:r>
        <w:t xml:space="preserve">. 2024.</w:t>
      </w:r>
    </w:p>
    <w:bookmarkEnd w:id="62"/>
    <w:bookmarkStart w:id="64" w:name="ref-bezanson2017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Bezanson J. и др.</w:t>
      </w:r>
      <w:r>
        <w:t xml:space="preserve"> </w:t>
      </w:r>
      <w:hyperlink r:id="rId63">
        <w:r>
          <w:rPr>
            <w:rStyle w:val="Hyperlink"/>
          </w:rPr>
          <w:t xml:space="preserve">Julia: A Fresh Approach to Numerical Computing</w:t>
        </w:r>
      </w:hyperlink>
      <w:r>
        <w:t xml:space="preserve"> </w:t>
      </w:r>
      <w:r>
        <w:t xml:space="preserve">// SIAM Review. 2017. Т. 59, № 1. С. 65–98.</w:t>
      </w:r>
    </w:p>
    <w:bookmarkEnd w:id="64"/>
    <w:bookmarkStart w:id="66" w:name="ref-drwatson2023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65">
        <w:r>
          <w:rPr>
            <w:rStyle w:val="Hyperlink"/>
          </w:rPr>
          <w:t xml:space="preserve">DrWatson.jl: Scientific Project Organization in Julia</w:t>
        </w:r>
      </w:hyperlink>
      <w:r>
        <w:t xml:space="preserve">. 2023.</w:t>
      </w:r>
    </w:p>
    <w:bookmarkEnd w:id="66"/>
    <w:bookmarkStart w:id="68" w:name="ref-literate2022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Froehlich M. и др.</w:t>
      </w:r>
      <w:r>
        <w:t xml:space="preserve"> </w:t>
      </w:r>
      <w:hyperlink r:id="rId67">
        <w:r>
          <w:rPr>
            <w:rStyle w:val="Hyperlink"/>
          </w:rPr>
          <w:t xml:space="preserve">Literate.jl: Literate Programming in Julia</w:t>
        </w:r>
      </w:hyperlink>
      <w:r>
        <w:t xml:space="preserve">. 2022.</w:t>
      </w:r>
    </w:p>
    <w:bookmarkEnd w:id="68"/>
    <w:bookmarkStart w:id="69" w:name="ref-knuth1992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Knuth D. E. Literate Programming. Stanford, CA: Center for the Study of Language; Information, 1992.</w:t>
      </w:r>
    </w:p>
    <w:bookmarkEnd w:id="69"/>
    <w:bookmarkStart w:id="70" w:name="ref-kulyabov2020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Кулябов Д. С., Королькова А. В., Савицкая Е. В. Литературное программирование в научных вычислениях на примере Julia // Вестник РУДН. Серия: Математика, информатика, физика. 2020. Т. 28, № 2. С. 150–164.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hyperlink" Id="rId61" Target="https://docs.julialang.org" TargetMode="External" /><Relationship Type="http://schemas.openxmlformats.org/officeDocument/2006/relationships/hyperlink" Id="rId63" Target="https://doi.org/10.1137/141000671" TargetMode="External" /><Relationship Type="http://schemas.openxmlformats.org/officeDocument/2006/relationships/hyperlink" Id="rId67" Target="https://github.com/fredrikekre/Literate.jl" TargetMode="External" /><Relationship Type="http://schemas.openxmlformats.org/officeDocument/2006/relationships/hyperlink" Id="rId65" Target="https://juliadynamics.github.io/DrWatson.j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docs.julialang.org" TargetMode="External" /><Relationship Type="http://schemas.openxmlformats.org/officeDocument/2006/relationships/hyperlink" Id="rId63" Target="https://doi.org/10.1137/141000671" TargetMode="External" /><Relationship Type="http://schemas.openxmlformats.org/officeDocument/2006/relationships/hyperlink" Id="rId67" Target="https://github.com/fredrikekre/Literate.jl" TargetMode="External" /><Relationship Type="http://schemas.openxmlformats.org/officeDocument/2006/relationships/hyperlink" Id="rId65" Target="https://juliadynamics.github.io/DrWatson.j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Малюга Валерия Васильевна</dc:creator>
  <dc:language>ru-RU</dc:language>
  <cp:keywords/>
  <dcterms:created xsi:type="dcterms:W3CDTF">2026-05-30T19:09:04Z</dcterms:created>
  <dcterms:modified xsi:type="dcterms:W3CDTF">2026-05-30T19:09:04Z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Модель конкуренции двух фирм</vt:lpwstr>
  </property>
  <property fmtid="{D5CDD505-2E9C-101B-9397-08002B2CF9AE}" pid="17" name="supervisor">
    <vt:lpwstr/>
  </property>
  <property fmtid="{D5CDD505-2E9C-101B-9397-08002B2CF9AE}" pid="18" name="toc-title">
    <vt:lpwstr>Содержание</vt:lpwstr>
  </property>
</Properties>
</file>