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SourceCode"/>
      </w:pPr>
      <w:r>
        <w:rPr>
          <w:rStyle w:val="VerbatimChar"/>
        </w:rPr>
        <w:t xml:space="preserve">Цель данной лабораторной работы - освоить процедуры компиляции и сборки программ, написанных на ассемблере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Heading2"/>
      </w:pPr>
      <w:bookmarkStart w:id="23" w:name="основные-принципы-работы-компьютера"/>
      <w:r>
        <w:t xml:space="preserve">Основные принципы работы компьютера</w:t>
      </w:r>
      <w:bookmarkEnd w:id="23"/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br/>
      </w:r>
      <w:r>
        <w:rPr>
          <w:rStyle w:val="VerbatimChar"/>
        </w:rPr>
        <w:t xml:space="preserve">Основной задачей процессора является обработка информации, а также организация координации всех узлов компьютера. В состав **центрального процессора (ЦП)** входят следующие устройства:</w:t>
      </w:r>
      <w:r>
        <w:br/>
      </w:r>
      <w:r>
        <w:rPr>
          <w:rStyle w:val="VerbatimChar"/>
        </w:rPr>
        <w:t xml:space="preserve">• **арифметико-логическое устройство (АЛУ)**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• **устройство управления (УУ)**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• **регистры**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br/>
      </w:r>
      <w:r>
        <w:rPr>
          <w:rStyle w:val="VerbatimChar"/>
        </w:rP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br/>
      </w:r>
      <w:r>
        <w:rPr>
          <w:rStyle w:val="VerbatimChar"/>
        </w:rP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rPr>
          <w:rStyle w:val="VerbatimChar"/>
        </w:rPr>
        <w:t xml:space="preserve">Другим важным узлом ЭВМ является **оперативное запоминающее устройство (ОЗУ)**.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</w:t>
      </w:r>
      <w:r>
        <w:br/>
      </w:r>
      <w:r>
        <w:rPr>
          <w:rStyle w:val="VerbatimChar"/>
        </w:rPr>
        <w:t xml:space="preserve">В состав ЭВМ также входят **периферийные устройства**, которые можно разделить на:</w:t>
      </w:r>
      <w:r>
        <w:br/>
      </w:r>
      <w:r>
        <w:rPr>
          <w:rStyle w:val="VerbatimChar"/>
        </w:rPr>
        <w:t xml:space="preserve">• ***устройства внешней памяти***,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br/>
      </w:r>
      <w:r>
        <w:rPr>
          <w:rStyle w:val="VerbatimChar"/>
        </w:rPr>
        <w:t xml:space="preserve">• ***устройства ввода-вывода***, которые обеспечивают взаимодействие ЦП с внешней средой.</w:t>
      </w:r>
      <w:r>
        <w:br/>
      </w:r>
      <w:r>
        <w:rPr>
          <w:rStyle w:val="VerbatimChar"/>
        </w:rPr>
        <w:t xml:space="preserve">В основе вычислительного процесса ЭВМ лежит **принцип программного управления**. Это означает, что компьютер решает поставленную задачу как последовательность действий, записанных в виде программы.</w:t>
      </w:r>
      <w:r>
        <w:br/>
      </w:r>
      <w:r>
        <w:rPr>
          <w:rStyle w:val="VerbatimChar"/>
        </w:rPr>
        <w:t xml:space="preserve">Набор машинных команд определяется устройством конкретного процессора. В коде машинной команды можно выделить две части: *операционную* и *адресную*.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br/>
      </w:r>
      <w:r>
        <w:rPr>
          <w:rStyle w:val="VerbatimChar"/>
        </w:rPr>
        <w:t xml:space="preserve">При выполнении каждой команды процессор выполняет определённую последовательность стандартных действий, которая называется **командным циклом процессора**. В общем виде он заключается в следующем:</w:t>
      </w:r>
    </w:p>
    <w:p>
      <w:pPr>
        <w:numPr>
          <w:ilvl w:val="0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2"/>
        </w:numPr>
        <w:pStyle w:val="Compact"/>
      </w:pPr>
      <w:r>
        <w:t xml:space="preserve">переход к следующей команде.</w:t>
      </w:r>
    </w:p>
    <w:p>
      <w:pPr>
        <w:pStyle w:val="Heading2"/>
      </w:pPr>
      <w:bookmarkStart w:id="24" w:name="ассемблер-и-язык-ассемблера"/>
      <w:r>
        <w:t xml:space="preserve">Ассемблер и язык ассемблера</w:t>
      </w:r>
      <w:bookmarkEnd w:id="24"/>
    </w:p>
    <w:p>
      <w:pPr>
        <w:pStyle w:val="SourceCode"/>
      </w:pPr>
      <w:r>
        <w:rPr>
          <w:rStyle w:val="VerbatimChar"/>
        </w:rPr>
        <w:t xml:space="preserve">**Язык ассемблера**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rPr>
          <w:rStyle w:val="VerbatimChar"/>
        </w:rPr>
        <w:t xml:space="preserve">Процессор понимает не команды ассемблера, а последовательности из нулей и единиц — **машинные коды**. Преобразование или *трансляция* команд с языка ассемблера в исполняемый машинный код осуществляется специальной программой транслятором — **Ассемблер**. Для каждой архитектуры существует свой ассемблер и, соответственно, свой язык ассемблера.</w:t>
      </w:r>
      <w:r>
        <w:br/>
      </w:r>
      <w:r>
        <w:rPr>
          <w:rStyle w:val="VerbatimChar"/>
        </w:rP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rPr>
          <w:rStyle w:val="VerbatimChar"/>
        </w:rPr>
        <w:t xml:space="preserve">Типичный формат записи команд NASM имеет вид:</w:t>
      </w:r>
      <w:r>
        <w:br/>
      </w:r>
      <w:r>
        <w:rPr>
          <w:rStyle w:val="VerbatimChar"/>
        </w:rPr>
        <w:t xml:space="preserve">[метка:] мнемокод [операнд {, операнд}] [; комментарий]</w:t>
      </w:r>
      <w:r>
        <w:br/>
      </w:r>
      <w:r>
        <w:rPr>
          <w:rStyle w:val="VerbatimChar"/>
        </w:rPr>
        <w:t xml:space="preserve">Здесь **мнемокод**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</w:t>
      </w:r>
      <w:r>
        <w:t xml:space="preserve"> </w:t>
      </w:r>
      <w:r>
        <w:rPr>
          <w:b/>
        </w:rPr>
        <w:t xml:space="preserve">Операндами</w:t>
      </w:r>
      <w:r>
        <w:t xml:space="preserve"> </w:t>
      </w:r>
      <w:r>
        <w:t xml:space="preserve">могут быть числа, данные, адреса регистров или адреса оперативной памяти.</w:t>
      </w:r>
      <w:r>
        <w:t xml:space="preserve"> </w:t>
      </w:r>
      <w:r>
        <w:rPr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Программа на языке ассемблера также может содержать</w:t>
      </w:r>
      <w:r>
        <w:t xml:space="preserve"> </w:t>
      </w:r>
      <w:r>
        <w:rPr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p>
      <w:pPr>
        <w:pStyle w:val="Heading2"/>
      </w:pPr>
      <w:bookmarkStart w:id="25" w:name="X310c182b2f11788f30ff9ceb7453c607ff33b25"/>
      <w:r>
        <w:t xml:space="preserve">Процесс создания и обработки программы на языке ассемблера</w:t>
      </w:r>
      <w:bookmarkEnd w:id="25"/>
    </w:p>
    <w:p>
      <w:pPr>
        <w:pStyle w:val="SourceCode"/>
      </w:pPr>
      <w:r>
        <w:rPr>
          <w:rStyle w:val="VerbatimChar"/>
        </w:rPr>
        <w:t xml:space="preserve">В процессе создания ассемблерной программы можно выделить четыре шага:</w:t>
      </w:r>
      <w:r>
        <w:br/>
      </w:r>
      <w:r>
        <w:rPr>
          <w:rStyle w:val="VerbatimChar"/>
        </w:rPr>
        <w:t xml:space="preserve">• **Набор текста**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br/>
      </w:r>
      <w:r>
        <w:rPr>
          <w:rStyle w:val="VerbatimChar"/>
        </w:rPr>
        <w:t xml:space="preserve">• **Трансляция**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br/>
      </w:r>
      <w:r>
        <w:rPr>
          <w:rStyle w:val="VerbatimChar"/>
        </w:rPr>
        <w:t xml:space="preserve">• **Компоновка или линковка**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br/>
      </w:r>
      <w:r>
        <w:rPr>
          <w:rStyle w:val="VerbatimChar"/>
        </w:rPr>
        <w:t xml:space="preserve">• **Запуск программы**.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p>
      <w:pPr>
        <w:pStyle w:val="Heading1"/>
      </w:pPr>
      <w:bookmarkStart w:id="26" w:name="выполнение-лабораторной-работы"/>
      <w:r>
        <w:t xml:space="preserve">Выполнение лабораторной работы</w:t>
      </w:r>
      <w:bookmarkEnd w:id="26"/>
    </w:p>
    <w:p>
      <w:pPr>
        <w:pStyle w:val="Heading2"/>
      </w:pPr>
      <w:bookmarkStart w:id="27" w:name="создание-программы-hello-world"/>
      <w:r>
        <w:t xml:space="preserve">Создание программы Hello world!</w:t>
      </w:r>
      <w:bookmarkEnd w:id="27"/>
    </w:p>
    <w:p>
      <w:pPr>
        <w:pStyle w:val="SourceCode"/>
      </w:pPr>
      <w:r>
        <w:rPr>
          <w:rStyle w:val="VerbatimChar"/>
        </w:rPr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 @fig:001).</w:t>
      </w:r>
    </w:p>
    <w:p>
      <w:pPr>
        <w:pStyle w:val="CaptionedFigure"/>
      </w:pPr>
      <w:bookmarkStart w:id="29" w:name="fig:001"/>
      <w:r>
        <w:drawing>
          <wp:inline>
            <wp:extent cx="5334000" cy="4359678"/>
            <wp:effectExtent b="0" l="0" r="0" t="0"/>
            <wp:docPr descr="Создание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программы Hello world</w:t>
      </w:r>
    </w:p>
    <w:p>
      <w:pPr>
        <w:pStyle w:val="Heading2"/>
      </w:pPr>
      <w:bookmarkStart w:id="30" w:name="работа-с-транслятором-nasm"/>
      <w:r>
        <w:t xml:space="preserve">Работа с транслятором NASM</w:t>
      </w:r>
      <w:bookmarkEnd w:id="30"/>
    </w:p>
    <w:p>
      <w:pPr>
        <w:pStyle w:val="SourceCode"/>
      </w:pPr>
      <w:r>
        <w:rPr>
          <w:rStyle w:val="VerbatimChar"/>
        </w:rPr>
        <w:t xml:space="preserve">Для компиляции программы "Hello world" 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 @fig:002).</w:t>
      </w:r>
    </w:p>
    <w:p>
      <w:pPr>
        <w:pStyle w:val="CaptionedFigure"/>
      </w:pPr>
      <w:bookmarkStart w:id="32" w:name="fig:002"/>
      <w:r>
        <w:drawing>
          <wp:inline>
            <wp:extent cx="5334000" cy="800549"/>
            <wp:effectExtent b="0" l="0" r="0" t="0"/>
            <wp:docPr descr="Компиляция программы hell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Компиляция программы hello</w:t>
      </w:r>
    </w:p>
    <w:p>
      <w:pPr>
        <w:pStyle w:val="Heading2"/>
      </w:pPr>
      <w:bookmarkStart w:id="33" w:name="X9f2c0ffdb3977ae9a7cf72e3f6b7f409f8404a3"/>
      <w:r>
        <w:t xml:space="preserve">Работа с расширенным синтаксисом командной строки NASM</w:t>
      </w:r>
      <w:bookmarkEnd w:id="33"/>
    </w:p>
    <w:p>
      <w:pPr>
        <w:pStyle w:val="SourceCode"/>
      </w:pPr>
      <w:r>
        <w:rPr>
          <w:rStyle w:val="VerbatimChar"/>
        </w:rPr>
        <w:t xml:space="preserve"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[-@fig:003]).</w:t>
      </w:r>
    </w:p>
    <w:p>
      <w:pPr>
        <w:pStyle w:val="CaptionedFigure"/>
      </w:pPr>
      <w:bookmarkStart w:id="35" w:name="fig:003"/>
      <w:r>
        <w:drawing>
          <wp:inline>
            <wp:extent cx="5334000" cy="595641"/>
            <wp:effectExtent b="0" l="0" r="0" t="0"/>
            <wp:docPr descr="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Компиляция текста программы</w:t>
      </w:r>
    </w:p>
    <w:p>
      <w:pPr>
        <w:pStyle w:val="Heading2"/>
      </w:pPr>
      <w:bookmarkStart w:id="36" w:name="работа-с-компоновщиком-ld"/>
      <w:r>
        <w:t xml:space="preserve">Работа с компоновщиком LD</w:t>
      </w:r>
      <w:bookmarkEnd w:id="36"/>
    </w:p>
    <w:p>
      <w:pPr>
        <w:pStyle w:val="SourceCode"/>
      </w:pPr>
      <w:r>
        <w:rPr>
          <w:rStyle w:val="VerbatimChar"/>
        </w:rPr>
        <w:t xml:space="preserve"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[-@fig:004]).</w:t>
      </w:r>
    </w:p>
    <w:p>
      <w:pPr>
        <w:pStyle w:val="CaptionedFigure"/>
      </w:pPr>
      <w:bookmarkStart w:id="38" w:name="fig:004"/>
      <w:r>
        <w:drawing>
          <wp:inline>
            <wp:extent cx="5334000" cy="689268"/>
            <wp:effectExtent b="0" l="0" r="0" t="0"/>
            <wp:docPr descr="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Heading2"/>
      </w:pPr>
      <w:bookmarkStart w:id="39" w:name="запуск-исполняемого-файла"/>
      <w:r>
        <w:t xml:space="preserve">Запуск исполняемого файла</w:t>
      </w:r>
      <w:bookmarkEnd w:id="39"/>
    </w:p>
    <w:p>
      <w:pPr>
        <w:pStyle w:val="SourceCode"/>
      </w:pPr>
      <w:r>
        <w:rPr>
          <w:rStyle w:val="VerbatimChar"/>
        </w:rPr>
        <w:t xml:space="preserve">Запустила созданный исполняемый файл, набрав в терминале команду (рис. [-@fig:005]).</w:t>
      </w:r>
    </w:p>
    <w:p>
      <w:pPr>
        <w:pStyle w:val="CaptionedFigure"/>
      </w:pPr>
      <w:bookmarkStart w:id="41" w:name="fig:005"/>
      <w:r>
        <w:drawing>
          <wp:inline>
            <wp:extent cx="5334000" cy="515937"/>
            <wp:effectExtent b="0" l="0" r="0" t="0"/>
            <wp:docPr descr="Запуск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Запуск программы Hello world</w:t>
      </w:r>
    </w:p>
    <w:p>
      <w:pPr>
        <w:pStyle w:val="Heading2"/>
      </w:pPr>
      <w:bookmarkStart w:id="42" w:name="X32ff26b75a7156f968f22ae721fd8fec4b51e1d"/>
      <w:r>
        <w:t xml:space="preserve">Выполнение заданий для самостоятельной работы</w:t>
      </w:r>
      <w:bookmarkEnd w:id="42"/>
    </w:p>
    <w:p>
      <w:pPr>
        <w:numPr>
          <w:ilvl w:val="0"/>
          <w:numId w:val="1003"/>
        </w:numPr>
      </w:pPr>
      <w:r>
        <w:t xml:space="preserve">В каталоге ~/work/arch-pc/lab04 с помощью команды cp создала копию файла hello.asm с именем lab4.asm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44" w:name="fig:006"/>
      <w:r>
        <w:drawing>
          <wp:inline>
            <wp:extent cx="5334000" cy="4325937"/>
            <wp:effectExtent b="0" l="0" r="0" t="0"/>
            <wp:docPr descr="Изменение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Изменение программы lab4.asm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46" w:name="fig:007"/>
      <w:r>
        <w:drawing>
          <wp:inline>
            <wp:extent cx="5334000" cy="1345028"/>
            <wp:effectExtent b="0" l="0" r="0" t="0"/>
            <wp:docPr descr="Трансляция в объектный файл и его компоновка.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Трансляция в объектный файл и его компоновка.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48" w:name="fig:008"/>
      <w:r>
        <w:drawing>
          <wp:inline>
            <wp:extent cx="5334000" cy="2659006"/>
            <wp:effectExtent b="0" l="0" r="0" t="0"/>
            <wp:docPr descr="Копирование файлов в локальный репозиторий и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Копирование файлов в локальный репозиторий и отправка на Github</w:t>
      </w:r>
    </w:p>
    <w:p>
      <w:pPr>
        <w:pStyle w:val="Heading1"/>
      </w:pPr>
      <w:bookmarkStart w:id="49" w:name="выводы"/>
      <w:r>
        <w:t xml:space="preserve">Выводы</w:t>
      </w:r>
      <w:bookmarkEnd w:id="49"/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Малюга Валерия Васильевна</dc:creator>
  <dc:language>ru-RU</dc:language>
  <cp:keywords/>
  <dcterms:created xsi:type="dcterms:W3CDTF">2023-10-26T21:28:32Z</dcterms:created>
  <dcterms:modified xsi:type="dcterms:W3CDTF">2023-10-26T21:28:32Z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