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72C" w:rsidRPr="0075172C" w:rsidRDefault="0075172C" w:rsidP="0075172C">
      <w:pPr>
        <w:pStyle w:val="NormalWeb"/>
        <w:shd w:val="clear" w:color="auto" w:fill="FFFFFF"/>
        <w:spacing w:before="0" w:line="480" w:lineRule="auto"/>
        <w:jc w:val="center"/>
        <w:rPr>
          <w:b/>
          <w:sz w:val="20"/>
          <w:szCs w:val="20"/>
          <w:lang w:bidi="en-US"/>
        </w:rPr>
      </w:pPr>
      <w:r>
        <w:rPr>
          <w:b/>
          <w:sz w:val="20"/>
          <w:szCs w:val="20"/>
          <w:lang w:bidi="en-US"/>
        </w:rPr>
        <w:t>SUPPORTING INFORMATION</w:t>
      </w:r>
    </w:p>
    <w:p w:rsidR="0075172C" w:rsidRPr="00667E04" w:rsidRDefault="0075172C" w:rsidP="0075172C">
      <w:pPr>
        <w:pStyle w:val="NormalWeb"/>
        <w:numPr>
          <w:ilvl w:val="0"/>
          <w:numId w:val="1"/>
        </w:numPr>
        <w:shd w:val="clear" w:color="auto" w:fill="FFFFFF"/>
        <w:spacing w:after="120" w:line="480" w:lineRule="auto"/>
        <w:ind w:left="426" w:hanging="426"/>
        <w:rPr>
          <w:rFonts w:ascii="Arial" w:hAnsi="Arial" w:cs="Arial"/>
          <w:b/>
          <w:sz w:val="20"/>
          <w:szCs w:val="20"/>
          <w:lang w:bidi="en-US"/>
        </w:rPr>
      </w:pPr>
      <w:r>
        <w:rPr>
          <w:rFonts w:ascii="Arial" w:hAnsi="Arial" w:cs="Arial"/>
          <w:b/>
          <w:sz w:val="20"/>
          <w:szCs w:val="20"/>
          <w:lang w:bidi="en-US"/>
        </w:rPr>
        <w:t>Details of Matrix Calculations</w:t>
      </w:r>
    </w:p>
    <w:p w:rsidR="00852535" w:rsidRDefault="008E6004" w:rsidP="0075172C">
      <w:pPr>
        <w:pStyle w:val="NormalWeb"/>
        <w:shd w:val="clear" w:color="auto" w:fill="FFFFFF"/>
        <w:spacing w:before="0" w:line="480" w:lineRule="auto"/>
        <w:ind w:firstLine="360"/>
        <w:jc w:val="both"/>
        <w:rPr>
          <w:sz w:val="20"/>
          <w:szCs w:val="20"/>
          <w:lang w:bidi="en-US"/>
        </w:rPr>
      </w:pPr>
      <w:r>
        <w:rPr>
          <w:sz w:val="20"/>
          <w:szCs w:val="20"/>
          <w:lang w:bidi="en-US"/>
        </w:rPr>
        <w:t xml:space="preserve">The </w:t>
      </w:r>
      <w:r w:rsidR="000E783D">
        <w:rPr>
          <w:sz w:val="20"/>
          <w:szCs w:val="20"/>
          <w:lang w:bidi="en-US"/>
        </w:rPr>
        <w:t>size</w:t>
      </w:r>
      <w:r>
        <w:rPr>
          <w:sz w:val="20"/>
          <w:szCs w:val="20"/>
          <w:lang w:bidi="en-US"/>
        </w:rPr>
        <w:t xml:space="preserve"> of</w:t>
      </w:r>
      <w:r w:rsidRPr="000422A2">
        <w:rPr>
          <w:sz w:val="20"/>
          <w:szCs w:val="20"/>
          <w:lang w:bidi="en-US"/>
        </w:rPr>
        <w:t xml:space="preserve"> </w:t>
      </w:r>
      <w:r w:rsidR="000E783D">
        <w:rPr>
          <w:sz w:val="20"/>
          <w:szCs w:val="20"/>
          <w:lang w:bidi="en-US"/>
        </w:rPr>
        <w:t xml:space="preserve">the coarse-grained rate matrix </w:t>
      </w:r>
      <w:proofErr w:type="gramStart"/>
      <w:r w:rsidRPr="004330A2">
        <w:rPr>
          <w:b/>
          <w:sz w:val="20"/>
          <w:szCs w:val="20"/>
        </w:rPr>
        <w:t>A</w:t>
      </w:r>
      <w:r w:rsidRPr="004330A2">
        <w:rPr>
          <w:sz w:val="20"/>
          <w:szCs w:val="20"/>
          <w:vertAlign w:val="subscript"/>
        </w:rPr>
        <w:t>(</w:t>
      </w:r>
      <w:proofErr w:type="gramEnd"/>
      <w:r>
        <w:rPr>
          <w:sz w:val="20"/>
          <w:szCs w:val="20"/>
          <w:vertAlign w:val="subscript"/>
        </w:rPr>
        <w:t>diff</w:t>
      </w:r>
      <w:r w:rsidRPr="004330A2">
        <w:rPr>
          <w:sz w:val="20"/>
          <w:szCs w:val="20"/>
          <w:vertAlign w:val="subscript"/>
        </w:rPr>
        <w:t>)</w:t>
      </w:r>
      <w:r>
        <w:rPr>
          <w:sz w:val="20"/>
          <w:szCs w:val="20"/>
          <w:lang w:bidi="en-US"/>
        </w:rPr>
        <w:t xml:space="preserve"> presented a numerical challenge, particularly in the case of the 2D model.</w:t>
      </w:r>
      <w:r w:rsidRPr="000422A2">
        <w:rPr>
          <w:sz w:val="20"/>
          <w:szCs w:val="20"/>
          <w:lang w:bidi="en-US"/>
        </w:rPr>
        <w:t xml:space="preserve"> </w:t>
      </w:r>
      <w:r w:rsidR="000E783D">
        <w:rPr>
          <w:sz w:val="20"/>
          <w:szCs w:val="20"/>
          <w:lang w:bidi="en-US"/>
        </w:rPr>
        <w:t>Out of</w:t>
      </w:r>
      <w:r w:rsidRPr="000422A2">
        <w:rPr>
          <w:sz w:val="20"/>
          <w:szCs w:val="20"/>
          <w:lang w:bidi="en-US"/>
        </w:rPr>
        <w:t xml:space="preserve"> </w:t>
      </w:r>
      <w:r>
        <w:rPr>
          <w:sz w:val="20"/>
          <w:szCs w:val="20"/>
          <w:lang w:bidi="en-US"/>
        </w:rPr>
        <w:t>the (</w:t>
      </w:r>
      <w:r w:rsidRPr="005928D7">
        <w:rPr>
          <w:i/>
          <w:sz w:val="20"/>
          <w:szCs w:val="20"/>
          <w:lang w:bidi="en-US"/>
        </w:rPr>
        <w:t>N</w:t>
      </w:r>
      <w:r>
        <w:rPr>
          <w:sz w:val="20"/>
          <w:szCs w:val="20"/>
          <w:lang w:bidi="en-US"/>
        </w:rPr>
        <w:t xml:space="preserve"> +1)</w:t>
      </w:r>
      <w:r w:rsidRPr="005928D7">
        <w:rPr>
          <w:sz w:val="20"/>
          <w:szCs w:val="20"/>
          <w:vertAlign w:val="superscript"/>
          <w:lang w:bidi="en-US"/>
        </w:rPr>
        <w:t>2</w:t>
      </w:r>
      <w:r w:rsidRPr="000422A2">
        <w:rPr>
          <w:sz w:val="20"/>
          <w:szCs w:val="20"/>
          <w:lang w:bidi="en-US"/>
        </w:rPr>
        <w:t xml:space="preserve"> </w:t>
      </w:r>
      <w:r>
        <w:rPr>
          <w:sz w:val="20"/>
          <w:szCs w:val="20"/>
          <w:lang w:bidi="en-US"/>
        </w:rPr>
        <w:t xml:space="preserve">microcanonical </w:t>
      </w:r>
      <w:r w:rsidRPr="000422A2">
        <w:rPr>
          <w:sz w:val="20"/>
          <w:szCs w:val="20"/>
          <w:lang w:bidi="en-US"/>
        </w:rPr>
        <w:t>states</w:t>
      </w:r>
      <w:r w:rsidR="00E46D94">
        <w:rPr>
          <w:sz w:val="20"/>
          <w:szCs w:val="20"/>
          <w:lang w:bidi="en-US"/>
        </w:rPr>
        <w:t xml:space="preserve"> in (</w:t>
      </w:r>
      <w:r w:rsidR="00E46D94" w:rsidRPr="00E46D94">
        <w:rPr>
          <w:i/>
          <w:sz w:val="20"/>
          <w:szCs w:val="20"/>
          <w:lang w:bidi="en-US"/>
        </w:rPr>
        <w:t>q</w:t>
      </w:r>
      <w:r w:rsidR="00E46D94">
        <w:rPr>
          <w:sz w:val="20"/>
          <w:szCs w:val="20"/>
          <w:lang w:bidi="en-US"/>
        </w:rPr>
        <w:t xml:space="preserve">, </w:t>
      </w:r>
      <w:r w:rsidR="00E46D94" w:rsidRPr="00E46D94">
        <w:rPr>
          <w:i/>
          <w:sz w:val="20"/>
          <w:szCs w:val="20"/>
          <w:lang w:bidi="en-US"/>
        </w:rPr>
        <w:t>E</w:t>
      </w:r>
      <w:r w:rsidR="00E46D94">
        <w:rPr>
          <w:sz w:val="20"/>
          <w:szCs w:val="20"/>
          <w:lang w:bidi="en-US"/>
        </w:rPr>
        <w:t>)</w:t>
      </w:r>
      <w:r>
        <w:rPr>
          <w:sz w:val="20"/>
          <w:szCs w:val="20"/>
          <w:lang w:bidi="en-US"/>
        </w:rPr>
        <w:t>-space</w:t>
      </w:r>
      <w:r w:rsidRPr="000422A2">
        <w:rPr>
          <w:sz w:val="20"/>
          <w:szCs w:val="20"/>
          <w:lang w:bidi="en-US"/>
        </w:rPr>
        <w:t xml:space="preserve">, somewhat less than half </w:t>
      </w:r>
      <w:r>
        <w:rPr>
          <w:sz w:val="20"/>
          <w:szCs w:val="20"/>
          <w:lang w:bidi="en-US"/>
        </w:rPr>
        <w:t>are physically accessible</w:t>
      </w:r>
      <w:r w:rsidRPr="000422A2">
        <w:rPr>
          <w:sz w:val="20"/>
          <w:szCs w:val="20"/>
          <w:lang w:bidi="en-US"/>
        </w:rPr>
        <w:t xml:space="preserve"> (Fig </w:t>
      </w:r>
      <w:r>
        <w:rPr>
          <w:sz w:val="20"/>
          <w:szCs w:val="20"/>
          <w:lang w:bidi="en-US"/>
        </w:rPr>
        <w:t>2</w:t>
      </w:r>
      <w:r w:rsidR="000E783D">
        <w:rPr>
          <w:sz w:val="20"/>
          <w:szCs w:val="20"/>
          <w:lang w:bidi="en-US"/>
        </w:rPr>
        <w:t>, main text</w:t>
      </w:r>
      <w:r>
        <w:rPr>
          <w:sz w:val="20"/>
          <w:szCs w:val="20"/>
          <w:lang w:bidi="en-US"/>
        </w:rPr>
        <w:t xml:space="preserve">), but this </w:t>
      </w:r>
      <w:r w:rsidR="00E46D94">
        <w:rPr>
          <w:sz w:val="20"/>
          <w:szCs w:val="20"/>
          <w:lang w:bidi="en-US"/>
        </w:rPr>
        <w:t>still</w:t>
      </w:r>
      <w:r>
        <w:rPr>
          <w:sz w:val="20"/>
          <w:szCs w:val="20"/>
          <w:lang w:bidi="en-US"/>
        </w:rPr>
        <w:t xml:space="preserve"> generates very large rate matrices. </w:t>
      </w:r>
      <w:r w:rsidRPr="000422A2">
        <w:rPr>
          <w:sz w:val="20"/>
          <w:szCs w:val="20"/>
          <w:lang w:bidi="en-US"/>
        </w:rPr>
        <w:t xml:space="preserve">The number of accessible states </w:t>
      </w:r>
      <w:r w:rsidRPr="000422A2">
        <w:rPr>
          <w:i/>
          <w:sz w:val="20"/>
          <w:szCs w:val="20"/>
          <w:lang w:bidi="en-US"/>
        </w:rPr>
        <w:t>l</w:t>
      </w:r>
      <w:r w:rsidRPr="000422A2">
        <w:rPr>
          <w:sz w:val="20"/>
          <w:szCs w:val="20"/>
          <w:lang w:bidi="en-US"/>
        </w:rPr>
        <w:t xml:space="preserve"> </w:t>
      </w:r>
      <w:r>
        <w:rPr>
          <w:sz w:val="20"/>
          <w:szCs w:val="20"/>
          <w:lang w:bidi="en-US"/>
        </w:rPr>
        <w:t>was</w:t>
      </w:r>
      <w:r w:rsidRPr="000422A2">
        <w:rPr>
          <w:sz w:val="20"/>
          <w:szCs w:val="20"/>
          <w:lang w:bidi="en-US"/>
        </w:rPr>
        <w:t xml:space="preserve"> substantially reduced by </w:t>
      </w:r>
      <w:r>
        <w:rPr>
          <w:sz w:val="20"/>
          <w:szCs w:val="20"/>
          <w:lang w:bidi="en-US"/>
        </w:rPr>
        <w:t xml:space="preserve">imposing a </w:t>
      </w:r>
      <w:r w:rsidRPr="000422A2">
        <w:rPr>
          <w:sz w:val="20"/>
          <w:szCs w:val="20"/>
          <w:lang w:bidi="en-US"/>
        </w:rPr>
        <w:t xml:space="preserve">free energy cutoff </w:t>
      </w:r>
      <w:proofErr w:type="spellStart"/>
      <w:r>
        <w:rPr>
          <w:i/>
          <w:sz w:val="20"/>
          <w:szCs w:val="20"/>
          <w:lang w:bidi="en-US"/>
        </w:rPr>
        <w:t>W</w:t>
      </w:r>
      <w:r w:rsidRPr="000422A2">
        <w:rPr>
          <w:i/>
          <w:sz w:val="20"/>
          <w:szCs w:val="20"/>
          <w:vertAlign w:val="subscript"/>
          <w:lang w:bidi="en-US"/>
        </w:rPr>
        <w:t>max</w:t>
      </w:r>
      <w:proofErr w:type="spellEnd"/>
      <w:r w:rsidR="003D41C1">
        <w:rPr>
          <w:sz w:val="20"/>
          <w:szCs w:val="20"/>
          <w:lang w:bidi="en-US"/>
        </w:rPr>
        <w:t>.</w:t>
      </w:r>
      <w:r>
        <w:rPr>
          <w:sz w:val="20"/>
          <w:szCs w:val="20"/>
          <w:lang w:bidi="en-US"/>
        </w:rPr>
        <w:t xml:space="preserve"> In order to avoid artificially bottlenecking the barrier peak, </w:t>
      </w:r>
      <w:proofErr w:type="spellStart"/>
      <w:r>
        <w:rPr>
          <w:i/>
          <w:sz w:val="20"/>
          <w:szCs w:val="20"/>
          <w:lang w:bidi="en-US"/>
        </w:rPr>
        <w:t>W</w:t>
      </w:r>
      <w:r w:rsidRPr="000422A2">
        <w:rPr>
          <w:i/>
          <w:sz w:val="20"/>
          <w:szCs w:val="20"/>
          <w:vertAlign w:val="subscript"/>
          <w:lang w:bidi="en-US"/>
        </w:rPr>
        <w:t>max</w:t>
      </w:r>
      <w:proofErr w:type="spellEnd"/>
      <w:r w:rsidRPr="000422A2">
        <w:rPr>
          <w:sz w:val="20"/>
          <w:szCs w:val="20"/>
          <w:lang w:bidi="en-US"/>
        </w:rPr>
        <w:t xml:space="preserve"> </w:t>
      </w:r>
      <w:r>
        <w:rPr>
          <w:sz w:val="20"/>
          <w:szCs w:val="20"/>
          <w:lang w:bidi="en-US"/>
        </w:rPr>
        <w:t>was assigned a value at least</w:t>
      </w:r>
      <w:r w:rsidRPr="000422A2">
        <w:rPr>
          <w:sz w:val="20"/>
          <w:szCs w:val="20"/>
          <w:lang w:bidi="en-US"/>
        </w:rPr>
        <w:t xml:space="preserve"> 150 </w:t>
      </w:r>
      <w:proofErr w:type="spellStart"/>
      <w:r w:rsidRPr="000422A2">
        <w:rPr>
          <w:sz w:val="20"/>
          <w:szCs w:val="20"/>
          <w:lang w:bidi="en-US"/>
        </w:rPr>
        <w:t>m</w:t>
      </w:r>
      <w:r>
        <w:rPr>
          <w:sz w:val="20"/>
          <w:szCs w:val="20"/>
          <w:lang w:bidi="en-US"/>
        </w:rPr>
        <w:t>e</w:t>
      </w:r>
      <w:r w:rsidRPr="000422A2">
        <w:rPr>
          <w:sz w:val="20"/>
          <w:szCs w:val="20"/>
          <w:lang w:bidi="en-US"/>
        </w:rPr>
        <w:t>V</w:t>
      </w:r>
      <w:proofErr w:type="spellEnd"/>
      <w:r w:rsidRPr="000422A2">
        <w:rPr>
          <w:sz w:val="20"/>
          <w:szCs w:val="20"/>
          <w:lang w:bidi="en-US"/>
        </w:rPr>
        <w:t xml:space="preserve"> </w:t>
      </w:r>
      <w:r>
        <w:rPr>
          <w:sz w:val="20"/>
          <w:szCs w:val="20"/>
          <w:lang w:bidi="en-US"/>
        </w:rPr>
        <w:t>greater</w:t>
      </w:r>
      <w:r w:rsidRPr="000422A2">
        <w:rPr>
          <w:sz w:val="20"/>
          <w:szCs w:val="20"/>
          <w:lang w:bidi="en-US"/>
        </w:rPr>
        <w:t xml:space="preserve"> than the saddle point energy</w:t>
      </w:r>
      <w:r>
        <w:rPr>
          <w:sz w:val="20"/>
          <w:szCs w:val="20"/>
          <w:lang w:bidi="en-US"/>
        </w:rPr>
        <w:t>. Converting</w:t>
      </w:r>
      <w:r w:rsidRPr="000422A2">
        <w:rPr>
          <w:sz w:val="20"/>
          <w:szCs w:val="20"/>
          <w:lang w:bidi="en-US"/>
        </w:rPr>
        <w:t xml:space="preserve"> </w:t>
      </w:r>
      <w:proofErr w:type="gramStart"/>
      <w:r w:rsidRPr="004330A2">
        <w:rPr>
          <w:b/>
          <w:sz w:val="20"/>
          <w:szCs w:val="20"/>
        </w:rPr>
        <w:t>A</w:t>
      </w:r>
      <w:r>
        <w:rPr>
          <w:sz w:val="20"/>
          <w:szCs w:val="20"/>
          <w:vertAlign w:val="subscript"/>
        </w:rPr>
        <w:t>(</w:t>
      </w:r>
      <w:proofErr w:type="gramEnd"/>
      <w:r>
        <w:rPr>
          <w:sz w:val="20"/>
          <w:szCs w:val="20"/>
          <w:vertAlign w:val="subscript"/>
        </w:rPr>
        <w:t>2D</w:t>
      </w:r>
      <w:r w:rsidRPr="004330A2">
        <w:rPr>
          <w:sz w:val="20"/>
          <w:szCs w:val="20"/>
          <w:vertAlign w:val="subscript"/>
        </w:rPr>
        <w:t>)</w:t>
      </w:r>
      <w:r w:rsidRPr="000422A2">
        <w:rPr>
          <w:sz w:val="20"/>
          <w:szCs w:val="20"/>
          <w:lang w:bidi="en-US"/>
        </w:rPr>
        <w:t xml:space="preserve"> to band form</w:t>
      </w:r>
      <w:r>
        <w:rPr>
          <w:sz w:val="20"/>
          <w:szCs w:val="20"/>
          <w:lang w:bidi="en-US"/>
        </w:rPr>
        <w:t xml:space="preserve"> substantially increased packing efficiency</w:t>
      </w:r>
      <w:r w:rsidRPr="000422A2">
        <w:rPr>
          <w:sz w:val="20"/>
          <w:szCs w:val="20"/>
          <w:lang w:bidi="en-US"/>
        </w:rPr>
        <w:t xml:space="preserve">. We numbered </w:t>
      </w:r>
      <w:r>
        <w:rPr>
          <w:sz w:val="20"/>
          <w:szCs w:val="20"/>
          <w:lang w:bidi="en-US"/>
        </w:rPr>
        <w:t>states in column order in the directions of</w:t>
      </w:r>
      <w:r w:rsidRPr="000422A2">
        <w:rPr>
          <w:sz w:val="20"/>
          <w:szCs w:val="20"/>
          <w:lang w:bidi="en-US"/>
        </w:rPr>
        <w:t xml:space="preserve"> increasing </w:t>
      </w:r>
      <w:r w:rsidRPr="000422A2">
        <w:rPr>
          <w:i/>
          <w:sz w:val="20"/>
          <w:szCs w:val="20"/>
          <w:lang w:bidi="en-US"/>
        </w:rPr>
        <w:t>m</w:t>
      </w:r>
      <w:r>
        <w:rPr>
          <w:sz w:val="20"/>
          <w:szCs w:val="20"/>
          <w:lang w:bidi="en-US"/>
        </w:rPr>
        <w:t xml:space="preserve"> and </w:t>
      </w:r>
      <w:proofErr w:type="gramStart"/>
      <w:r w:rsidRPr="000422A2">
        <w:rPr>
          <w:i/>
          <w:sz w:val="20"/>
          <w:szCs w:val="20"/>
          <w:lang w:bidi="en-US"/>
        </w:rPr>
        <w:t>n</w:t>
      </w:r>
      <w:r w:rsidRPr="00EB2DDF">
        <w:rPr>
          <w:sz w:val="20"/>
          <w:szCs w:val="20"/>
          <w:lang w:bidi="en-US"/>
        </w:rPr>
        <w:t>(</w:t>
      </w:r>
      <w:proofErr w:type="gramEnd"/>
      <w:r>
        <w:rPr>
          <w:i/>
          <w:sz w:val="20"/>
          <w:szCs w:val="20"/>
          <w:lang w:bidi="en-US"/>
        </w:rPr>
        <w:t>m</w:t>
      </w:r>
      <w:r w:rsidRPr="00EB2DDF">
        <w:rPr>
          <w:sz w:val="20"/>
          <w:szCs w:val="20"/>
          <w:lang w:bidi="en-US"/>
        </w:rPr>
        <w:t>)</w:t>
      </w:r>
      <w:r>
        <w:rPr>
          <w:sz w:val="20"/>
          <w:szCs w:val="20"/>
          <w:lang w:bidi="en-US"/>
        </w:rPr>
        <w:t>. This resulted in a maximum</w:t>
      </w:r>
      <w:r w:rsidRPr="000422A2">
        <w:rPr>
          <w:sz w:val="20"/>
          <w:szCs w:val="20"/>
          <w:lang w:bidi="en-US"/>
        </w:rPr>
        <w:t xml:space="preserve"> </w:t>
      </w:r>
      <w:r>
        <w:rPr>
          <w:sz w:val="20"/>
          <w:szCs w:val="20"/>
          <w:lang w:bidi="en-US"/>
        </w:rPr>
        <w:t xml:space="preserve">spatial </w:t>
      </w:r>
      <w:r w:rsidRPr="000422A2">
        <w:rPr>
          <w:sz w:val="20"/>
          <w:szCs w:val="20"/>
          <w:lang w:bidi="en-US"/>
        </w:rPr>
        <w:t xml:space="preserve">bandwidth </w:t>
      </w:r>
      <w:r w:rsidRPr="000422A2">
        <w:rPr>
          <w:i/>
          <w:sz w:val="20"/>
          <w:szCs w:val="20"/>
          <w:lang w:bidi="en-US"/>
        </w:rPr>
        <w:t>d</w:t>
      </w:r>
      <w:r w:rsidRPr="000422A2">
        <w:rPr>
          <w:sz w:val="20"/>
          <w:szCs w:val="20"/>
          <w:lang w:bidi="en-US"/>
        </w:rPr>
        <w:t xml:space="preserve"> </w:t>
      </w:r>
      <w:r>
        <w:rPr>
          <w:sz w:val="20"/>
          <w:szCs w:val="20"/>
          <w:lang w:bidi="en-US"/>
        </w:rPr>
        <w:t>equal to</w:t>
      </w:r>
      <w:r w:rsidRPr="000422A2">
        <w:rPr>
          <w:sz w:val="20"/>
          <w:szCs w:val="20"/>
          <w:lang w:bidi="en-US"/>
        </w:rPr>
        <w:t xml:space="preserve"> </w:t>
      </w:r>
      <w:r>
        <w:rPr>
          <w:sz w:val="20"/>
          <w:szCs w:val="20"/>
          <w:lang w:bidi="en-US"/>
        </w:rPr>
        <w:t>the width of the separatrix</w:t>
      </w:r>
      <w:r w:rsidRPr="000422A2">
        <w:rPr>
          <w:sz w:val="20"/>
          <w:szCs w:val="20"/>
          <w:lang w:bidi="en-US"/>
        </w:rPr>
        <w:t xml:space="preserve">. </w:t>
      </w:r>
      <w:r>
        <w:rPr>
          <w:sz w:val="20"/>
          <w:szCs w:val="20"/>
          <w:lang w:bidi="en-US"/>
        </w:rPr>
        <w:t xml:space="preserve">The final dimensions of the </w:t>
      </w:r>
      <w:r w:rsidRPr="000422A2">
        <w:rPr>
          <w:sz w:val="20"/>
          <w:szCs w:val="20"/>
          <w:lang w:bidi="en-US"/>
        </w:rPr>
        <w:t xml:space="preserve">banded </w:t>
      </w:r>
      <w:r>
        <w:rPr>
          <w:sz w:val="20"/>
          <w:szCs w:val="20"/>
          <w:lang w:bidi="en-US"/>
        </w:rPr>
        <w:t xml:space="preserve">2D rate matrix </w:t>
      </w:r>
      <w:proofErr w:type="gramStart"/>
      <w:r w:rsidRPr="004330A2">
        <w:rPr>
          <w:b/>
          <w:sz w:val="20"/>
          <w:szCs w:val="20"/>
        </w:rPr>
        <w:t>A</w:t>
      </w:r>
      <w:r>
        <w:rPr>
          <w:sz w:val="20"/>
          <w:szCs w:val="20"/>
          <w:vertAlign w:val="subscript"/>
        </w:rPr>
        <w:t>(</w:t>
      </w:r>
      <w:proofErr w:type="gramEnd"/>
      <w:r>
        <w:rPr>
          <w:sz w:val="20"/>
          <w:szCs w:val="20"/>
          <w:vertAlign w:val="subscript"/>
        </w:rPr>
        <w:t>2D</w:t>
      </w:r>
      <w:r w:rsidRPr="004330A2">
        <w:rPr>
          <w:sz w:val="20"/>
          <w:szCs w:val="20"/>
          <w:vertAlign w:val="subscript"/>
        </w:rPr>
        <w:t>)</w:t>
      </w:r>
      <w:r w:rsidRPr="000422A2">
        <w:rPr>
          <w:sz w:val="20"/>
          <w:szCs w:val="20"/>
          <w:lang w:bidi="en-US"/>
        </w:rPr>
        <w:t xml:space="preserve"> </w:t>
      </w:r>
      <w:r>
        <w:rPr>
          <w:sz w:val="20"/>
          <w:szCs w:val="20"/>
          <w:lang w:bidi="en-US"/>
        </w:rPr>
        <w:t>were</w:t>
      </w:r>
      <w:r w:rsidRPr="000422A2">
        <w:rPr>
          <w:sz w:val="20"/>
          <w:szCs w:val="20"/>
          <w:lang w:bidi="en-US"/>
        </w:rPr>
        <w:t xml:space="preserve"> </w:t>
      </w:r>
      <w:r w:rsidRPr="000422A2">
        <w:rPr>
          <w:i/>
          <w:sz w:val="20"/>
          <w:szCs w:val="20"/>
          <w:lang w:bidi="en-US"/>
        </w:rPr>
        <w:t>l</w:t>
      </w:r>
      <w:r w:rsidRPr="000422A2">
        <w:rPr>
          <w:sz w:val="20"/>
          <w:szCs w:val="20"/>
          <w:lang w:bidi="en-US"/>
        </w:rPr>
        <w:t xml:space="preserve"> </w:t>
      </w:r>
      <w:r>
        <w:rPr>
          <w:sz w:val="20"/>
          <w:szCs w:val="20"/>
          <w:lang w:bidi="en-US"/>
        </w:rPr>
        <w:sym w:font="Symbol" w:char="F0B4"/>
      </w:r>
      <w:r w:rsidRPr="000422A2">
        <w:rPr>
          <w:sz w:val="20"/>
          <w:szCs w:val="20"/>
          <w:lang w:bidi="en-US"/>
        </w:rPr>
        <w:t xml:space="preserve"> 2</w:t>
      </w:r>
      <w:r w:rsidRPr="000422A2">
        <w:rPr>
          <w:i/>
          <w:sz w:val="20"/>
          <w:szCs w:val="20"/>
          <w:lang w:bidi="en-US"/>
        </w:rPr>
        <w:t>d</w:t>
      </w:r>
      <w:r>
        <w:rPr>
          <w:sz w:val="20"/>
          <w:szCs w:val="20"/>
          <w:lang w:bidi="en-US"/>
        </w:rPr>
        <w:t>+1. Typical values for</w:t>
      </w:r>
      <w:r w:rsidRPr="000422A2">
        <w:rPr>
          <w:sz w:val="20"/>
          <w:szCs w:val="20"/>
          <w:lang w:bidi="en-US"/>
        </w:rPr>
        <w:t xml:space="preserve"> </w:t>
      </w:r>
      <w:r w:rsidRPr="000422A2">
        <w:rPr>
          <w:i/>
          <w:sz w:val="20"/>
          <w:szCs w:val="20"/>
          <w:lang w:bidi="en-US"/>
        </w:rPr>
        <w:t>l</w:t>
      </w:r>
      <w:r w:rsidRPr="000422A2">
        <w:rPr>
          <w:sz w:val="20"/>
          <w:szCs w:val="20"/>
          <w:lang w:bidi="en-US"/>
        </w:rPr>
        <w:t xml:space="preserve"> and </w:t>
      </w:r>
      <w:r w:rsidRPr="000422A2">
        <w:rPr>
          <w:i/>
          <w:sz w:val="20"/>
          <w:szCs w:val="20"/>
          <w:lang w:bidi="en-US"/>
        </w:rPr>
        <w:t>d</w:t>
      </w:r>
      <w:r w:rsidRPr="000422A2">
        <w:rPr>
          <w:sz w:val="20"/>
          <w:szCs w:val="20"/>
          <w:lang w:bidi="en-US"/>
        </w:rPr>
        <w:t xml:space="preserve"> were </w:t>
      </w:r>
      <w:r>
        <w:rPr>
          <w:sz w:val="20"/>
          <w:szCs w:val="20"/>
          <w:lang w:bidi="en-US"/>
        </w:rPr>
        <w:t>~20,000</w:t>
      </w:r>
      <w:r w:rsidRPr="000422A2">
        <w:rPr>
          <w:sz w:val="20"/>
          <w:szCs w:val="20"/>
          <w:lang w:bidi="en-US"/>
        </w:rPr>
        <w:t xml:space="preserve"> and </w:t>
      </w:r>
      <w:r>
        <w:rPr>
          <w:sz w:val="20"/>
          <w:szCs w:val="20"/>
          <w:lang w:bidi="en-US"/>
        </w:rPr>
        <w:t>~70</w:t>
      </w:r>
      <w:r w:rsidRPr="000422A2">
        <w:rPr>
          <w:sz w:val="20"/>
          <w:szCs w:val="20"/>
          <w:lang w:bidi="en-US"/>
        </w:rPr>
        <w:t xml:space="preserve">. By taking advantage of eigenvalue and linear routines designed for </w:t>
      </w:r>
      <w:r>
        <w:rPr>
          <w:sz w:val="20"/>
          <w:szCs w:val="20"/>
          <w:lang w:bidi="en-US"/>
        </w:rPr>
        <w:t xml:space="preserve">symmetric </w:t>
      </w:r>
      <w:r w:rsidRPr="000422A2">
        <w:rPr>
          <w:sz w:val="20"/>
          <w:szCs w:val="20"/>
          <w:lang w:bidi="en-US"/>
        </w:rPr>
        <w:t xml:space="preserve">band matrices, </w:t>
      </w:r>
      <w:r w:rsidRPr="00713AD8">
        <w:rPr>
          <w:i/>
          <w:sz w:val="20"/>
          <w:szCs w:val="20"/>
        </w:rPr>
        <w:t>k</w:t>
      </w:r>
      <w:r>
        <w:rPr>
          <w:sz w:val="20"/>
          <w:szCs w:val="20"/>
          <w:lang w:bidi="en-US"/>
        </w:rPr>
        <w:t xml:space="preserve"> could be computed in seconds on a desktop computer</w:t>
      </w:r>
      <w:r w:rsidRPr="000422A2">
        <w:rPr>
          <w:sz w:val="20"/>
          <w:szCs w:val="20"/>
          <w:lang w:bidi="en-US"/>
        </w:rPr>
        <w:t xml:space="preserve">. The </w:t>
      </w:r>
      <w:r>
        <w:rPr>
          <w:sz w:val="20"/>
          <w:szCs w:val="20"/>
          <w:lang w:bidi="en-US"/>
        </w:rPr>
        <w:t xml:space="preserve">same method was applied to </w:t>
      </w:r>
      <w:r w:rsidRPr="000422A2">
        <w:rPr>
          <w:sz w:val="20"/>
          <w:szCs w:val="20"/>
          <w:lang w:bidi="en-US"/>
        </w:rPr>
        <w:t xml:space="preserve">1D </w:t>
      </w:r>
      <w:r>
        <w:rPr>
          <w:sz w:val="20"/>
          <w:szCs w:val="20"/>
          <w:lang w:bidi="en-US"/>
        </w:rPr>
        <w:t>calculations</w:t>
      </w:r>
      <w:r w:rsidRPr="000422A2">
        <w:rPr>
          <w:sz w:val="20"/>
          <w:szCs w:val="20"/>
          <w:lang w:bidi="en-US"/>
        </w:rPr>
        <w:t xml:space="preserve">, where </w:t>
      </w:r>
      <w:proofErr w:type="gramStart"/>
      <w:r w:rsidRPr="004330A2">
        <w:rPr>
          <w:b/>
          <w:sz w:val="20"/>
          <w:szCs w:val="20"/>
        </w:rPr>
        <w:t>A</w:t>
      </w:r>
      <w:r>
        <w:rPr>
          <w:sz w:val="20"/>
          <w:szCs w:val="20"/>
          <w:vertAlign w:val="subscript"/>
        </w:rPr>
        <w:t>(</w:t>
      </w:r>
      <w:proofErr w:type="gramEnd"/>
      <w:r>
        <w:rPr>
          <w:sz w:val="20"/>
          <w:szCs w:val="20"/>
          <w:vertAlign w:val="subscript"/>
        </w:rPr>
        <w:t>1D</w:t>
      </w:r>
      <w:r w:rsidRPr="004330A2">
        <w:rPr>
          <w:sz w:val="20"/>
          <w:szCs w:val="20"/>
          <w:vertAlign w:val="subscript"/>
        </w:rPr>
        <w:t>)</w:t>
      </w:r>
      <w:r w:rsidRPr="000422A2">
        <w:rPr>
          <w:sz w:val="20"/>
          <w:szCs w:val="20"/>
          <w:lang w:bidi="en-US"/>
        </w:rPr>
        <w:t xml:space="preserve"> is tridiagonal (</w:t>
      </w:r>
      <w:r w:rsidRPr="000422A2">
        <w:rPr>
          <w:i/>
          <w:sz w:val="20"/>
          <w:szCs w:val="20"/>
          <w:lang w:bidi="en-US"/>
        </w:rPr>
        <w:t>d</w:t>
      </w:r>
      <w:r w:rsidRPr="000422A2">
        <w:rPr>
          <w:sz w:val="20"/>
          <w:szCs w:val="20"/>
          <w:lang w:bidi="en-US"/>
        </w:rPr>
        <w:t xml:space="preserve"> = 1) and </w:t>
      </w:r>
      <w:r w:rsidRPr="000422A2">
        <w:rPr>
          <w:i/>
          <w:sz w:val="20"/>
          <w:szCs w:val="20"/>
          <w:lang w:bidi="en-US"/>
        </w:rPr>
        <w:t>l</w:t>
      </w:r>
      <w:r w:rsidRPr="000422A2">
        <w:rPr>
          <w:sz w:val="20"/>
          <w:szCs w:val="20"/>
          <w:lang w:bidi="en-US"/>
        </w:rPr>
        <w:t xml:space="preserve"> = </w:t>
      </w:r>
      <w:r w:rsidRPr="000422A2">
        <w:rPr>
          <w:i/>
          <w:sz w:val="20"/>
          <w:szCs w:val="20"/>
          <w:lang w:bidi="en-US"/>
        </w:rPr>
        <w:t>N</w:t>
      </w:r>
      <w:r w:rsidRPr="000422A2">
        <w:rPr>
          <w:sz w:val="20"/>
          <w:szCs w:val="20"/>
          <w:lang w:bidi="en-US"/>
        </w:rPr>
        <w:t xml:space="preserve"> + 1.</w:t>
      </w:r>
    </w:p>
    <w:p w:rsidR="00852535" w:rsidRPr="00667E04" w:rsidRDefault="00852535" w:rsidP="00852535">
      <w:pPr>
        <w:pStyle w:val="NormalWeb"/>
        <w:numPr>
          <w:ilvl w:val="0"/>
          <w:numId w:val="1"/>
        </w:numPr>
        <w:shd w:val="clear" w:color="auto" w:fill="FFFFFF"/>
        <w:spacing w:after="120" w:line="480" w:lineRule="auto"/>
        <w:ind w:left="426" w:hanging="426"/>
        <w:rPr>
          <w:rFonts w:ascii="Arial" w:hAnsi="Arial" w:cs="Arial"/>
          <w:b/>
          <w:sz w:val="20"/>
          <w:szCs w:val="20"/>
          <w:lang w:bidi="en-US"/>
        </w:rPr>
      </w:pPr>
      <w:r w:rsidRPr="00667E04">
        <w:rPr>
          <w:rFonts w:ascii="Arial" w:hAnsi="Arial" w:cs="Arial"/>
          <w:b/>
          <w:sz w:val="20"/>
          <w:szCs w:val="20"/>
          <w:lang w:bidi="en-US"/>
        </w:rPr>
        <w:t>Error Analysis</w:t>
      </w:r>
    </w:p>
    <w:p w:rsidR="00852535" w:rsidRPr="0075172C" w:rsidRDefault="0075172C" w:rsidP="0075172C">
      <w:pPr>
        <w:pStyle w:val="NormalWeb"/>
        <w:shd w:val="clear" w:color="auto" w:fill="FFFFFF"/>
        <w:spacing w:before="0" w:line="480" w:lineRule="auto"/>
        <w:jc w:val="both"/>
        <w:rPr>
          <w:sz w:val="20"/>
          <w:szCs w:val="20"/>
          <w:highlight w:val="yellow"/>
          <w:lang w:bidi="en-US"/>
        </w:rPr>
      </w:pPr>
      <w:r>
        <w:rPr>
          <w:sz w:val="20"/>
          <w:szCs w:val="20"/>
          <w:lang w:bidi="en-US"/>
        </w:rPr>
        <w:t>D</w:t>
      </w:r>
      <w:r w:rsidRPr="0075172C">
        <w:rPr>
          <w:sz w:val="20"/>
          <w:szCs w:val="20"/>
          <w:lang w:bidi="en-US"/>
        </w:rPr>
        <w:t>espite agreement</w:t>
      </w:r>
      <w:r>
        <w:rPr>
          <w:sz w:val="20"/>
          <w:szCs w:val="20"/>
          <w:lang w:bidi="en-US"/>
        </w:rPr>
        <w:t xml:space="preserve">s between different methods of computing </w:t>
      </w:r>
      <w:r w:rsidRPr="0075172C">
        <w:rPr>
          <w:i/>
          <w:sz w:val="20"/>
          <w:szCs w:val="20"/>
          <w:lang w:bidi="en-US"/>
        </w:rPr>
        <w:t>k</w:t>
      </w:r>
      <w:r w:rsidRPr="0075172C">
        <w:rPr>
          <w:sz w:val="20"/>
          <w:szCs w:val="20"/>
          <w:lang w:bidi="en-US"/>
        </w:rPr>
        <w:t>, it was important to rule out systemic biases in the coarse-graining process.</w:t>
      </w:r>
      <w:r>
        <w:rPr>
          <w:sz w:val="20"/>
          <w:szCs w:val="20"/>
          <w:lang w:bidi="en-US"/>
        </w:rPr>
        <w:t xml:space="preserve"> </w:t>
      </w:r>
      <w:r w:rsidR="00852535" w:rsidRPr="0075172C">
        <w:rPr>
          <w:sz w:val="20"/>
          <w:szCs w:val="20"/>
          <w:lang w:bidi="en-US"/>
        </w:rPr>
        <w:t xml:space="preserve">We identified two potential sources of </w:t>
      </w:r>
      <w:r w:rsidR="000E783D">
        <w:rPr>
          <w:sz w:val="20"/>
          <w:szCs w:val="20"/>
          <w:lang w:bidi="en-US"/>
        </w:rPr>
        <w:t>error</w:t>
      </w:r>
      <w:r w:rsidR="00852535" w:rsidRPr="0075172C">
        <w:rPr>
          <w:sz w:val="20"/>
          <w:szCs w:val="20"/>
          <w:lang w:bidi="en-US"/>
        </w:rPr>
        <w:t>. The first is poor choice of pseudorandom number generator, leading to erroneous Monte Carlo simulation</w:t>
      </w:r>
      <w:r w:rsidR="00DA1785">
        <w:rPr>
          <w:sz w:val="20"/>
          <w:szCs w:val="20"/>
          <w:lang w:bidi="en-US"/>
        </w:rPr>
        <w:fldChar w:fldCharType="begin" w:fldLock="1"/>
      </w:r>
      <w:r w:rsidR="00DA1785">
        <w:rPr>
          <w:sz w:val="20"/>
          <w:szCs w:val="20"/>
          <w:lang w:bidi="en-US"/>
        </w:rPr>
        <w:instrText>ADDIN CSL_CITATION {"citationItems":[{"id":"ITEM-1","itemData":{"DOI":"10.1142/S0129183194000726","ISSN":"0129-1831","abstract":"Monte Carlo simulation is one of the main applications involving the use of random number generators. It is also one of the best methods of testing the randomness properties of such generators, by comparing results of simulations using different generators with each other, or with analytic results. Here we compare the performance of some popular random number generators by high precision Monte Carlo simulation of the 2-d Ising model, for which exact results are known, using the Metropolis, Swendsen-Wang, and Wolff Monte Carlo algorithms. Many widely used generators that perform well in standard statistical tests are shown to fail these Monte Carlo tests.","author":[{"dropping-particle":"","family":"Coddington","given":"P.D.","non-dropping-particle":"","parse-names":false,"suffix":""}],"container-title":"International Journal of Modern Physics C","id":"ITEM-1","issue":"03","issued":{"date-parts":[["1994","6","20"]]},"page":"547-560","publisher":"World Scientific Publishing Company","title":"Analysis of random number generators using Monte Carlo simulation","type":"article-journal","volume":"05"},"uris":["http://www.mendeley.com/documents/?uuid=350dbf21-a4cb-389e-9258-149b0d4dbf3e"]},{"id":"ITEM-2","itemData":{"DOI":"10.1103/PhysRevLett.69.3382","author":[{"dropping-particle":"","family":"Ferrenberg","given":"Alan M","non-dropping-particle":"","parse-names":false,"suffix":""},{"dropping-particle":"","family":"Landau","given":"D P","non-dropping-particle":"","parse-names":false,"suffix":""},{"dropping-particle":"","family":"Wong","given":"Y Joanna","non-dropping-particle":"","parse-names":false,"suffix":""}],"container-title":"Phys. Rev. Lett.","id":"ITEM-2","issue":"23","issued":{"date-parts":[["1992","12"]]},"page":"3382-3384","publisher":"American Physical Society","title":"Monte Carlo simulations: Hidden errors from ``good'' random number generators","type":"article-journal","volume":"69"},"uris":["http://www.mendeley.com/documents/?uuid=b88f36bb-beff-45db-91e7-aebdfe3e6264"]}],"mendeley":{"formattedCitation":"&lt;sup&gt;1,2&lt;/sup&gt;","plainTextFormattedCitation":"1,2"},"properties":{"noteIndex":0},"schema":"https://github.com/citation-style-language/schema/raw/master/csl-citation.json"}</w:instrText>
      </w:r>
      <w:r w:rsidR="00DA1785">
        <w:rPr>
          <w:sz w:val="20"/>
          <w:szCs w:val="20"/>
          <w:lang w:bidi="en-US"/>
        </w:rPr>
        <w:fldChar w:fldCharType="separate"/>
      </w:r>
      <w:r w:rsidR="00DA1785" w:rsidRPr="00DA1785">
        <w:rPr>
          <w:noProof/>
          <w:sz w:val="20"/>
          <w:szCs w:val="20"/>
          <w:vertAlign w:val="superscript"/>
          <w:lang w:bidi="en-US"/>
        </w:rPr>
        <w:t>1,2</w:t>
      </w:r>
      <w:r w:rsidR="00DA1785">
        <w:rPr>
          <w:sz w:val="20"/>
          <w:szCs w:val="20"/>
          <w:lang w:bidi="en-US"/>
        </w:rPr>
        <w:fldChar w:fldCharType="end"/>
      </w:r>
      <w:bookmarkStart w:id="0" w:name="_GoBack"/>
      <w:bookmarkEnd w:id="0"/>
      <w:r w:rsidR="00DA1785">
        <w:rPr>
          <w:sz w:val="20"/>
          <w:szCs w:val="20"/>
          <w:lang w:bidi="en-US"/>
        </w:rPr>
        <w:t>.</w:t>
      </w:r>
      <w:r w:rsidR="00852535" w:rsidRPr="0075172C">
        <w:rPr>
          <w:sz w:val="20"/>
          <w:szCs w:val="20"/>
          <w:lang w:bidi="en-US"/>
        </w:rPr>
        <w:t xml:space="preserve"> To address the possibility of biased sampling, we tested several generators: (1) Numerical Recipes© long-period </w:t>
      </w:r>
      <w:proofErr w:type="spellStart"/>
      <w:r w:rsidR="00852535" w:rsidRPr="0075172C">
        <w:rPr>
          <w:sz w:val="20"/>
          <w:szCs w:val="20"/>
          <w:lang w:bidi="en-US"/>
        </w:rPr>
        <w:t>L’Ecuyer</w:t>
      </w:r>
      <w:proofErr w:type="spellEnd"/>
      <w:r w:rsidR="00852535" w:rsidRPr="0075172C">
        <w:rPr>
          <w:sz w:val="20"/>
          <w:szCs w:val="20"/>
          <w:lang w:bidi="en-US"/>
        </w:rPr>
        <w:t xml:space="preserve"> generator with Bays-Durham shuffle (ran2)</w:t>
      </w:r>
      <w:r w:rsidR="00852535" w:rsidRPr="0075172C">
        <w:rPr>
          <w:sz w:val="20"/>
          <w:szCs w:val="20"/>
          <w:lang w:bidi="en-US"/>
        </w:rPr>
        <w:fldChar w:fldCharType="begin" w:fldLock="1"/>
      </w:r>
      <w:r w:rsidR="00DA1785">
        <w:rPr>
          <w:sz w:val="20"/>
          <w:szCs w:val="20"/>
          <w:lang w:bidi="en-US"/>
        </w:rPr>
        <w:instrText>ADDIN CSL_CITATION {"citationItems":[{"id":"ITEM-1","itemData":{"DOI":"10.2307/1269484","ISBN":"0521431085","ISSN":"00401706","PMID":"7879318","abstract":"SUMMARY: The example books published as part of the Numerical Recipes second edition series contain source programs that exercise and demonstrate all of the Numerical Recipes subroutines. Each example program contains comments and is prefaced by a short description of what it does. The books contain all of the old material from the original edition as well as new material from the second edition. They will be valuable for readers who wish to incorporate procedures and subroutines into their own source programs. They are available in both FORTRAN and C.","author":[{"dropping-particle":"","family":"Press","given":"William","non-dropping-particle":"","parse-names":false,"suffix":""},{"dropping-particle":"","family":"Teukolsky","given":"Saul","non-dropping-particle":"","parse-names":false,"suffix":""},{"dropping-particle":"","family":"Vetterling","given":"William","non-dropping-particle":"","parse-names":false,"suffix":""},{"dropping-particle":"","family":"Flannery","given":"Brian","non-dropping-particle":"","parse-names":false,"suffix":""},{"dropping-particle":"","family":"Ziegel","given":"Eric","non-dropping-particle":"","parse-names":false,"suffix":""},{"dropping-particle":"","family":"Press","given":"William","non-dropping-particle":"","parse-names":false,"suffix":""},{"dropping-particle":"","family":"Flannery","given":"Brian","non-dropping-particle":"","parse-names":false,"suffix":""},{"dropping-particle":"","family":"Teukolsky","given":"Saul","non-dropping-particle":"","parse-names":false,"suffix":""},{"dropping-particle":"","family":"Vetterling","given":"William","non-dropping-particle":"","parse-names":false,"suffix":""}],"edition":"2","id":"ITEM-1","issued":{"date-parts":[["1992"]]},"publisher":"Cambridge University Press","publisher-place":"New York","title":"Numerical Recipes in C","type":"book"},"uris":["http://www.mendeley.com/documents/?uuid=1e860178-6dbe-432c-9430-3a43fb13cea0"]}],"mendeley":{"formattedCitation":"&lt;sup&gt;3&lt;/sup&gt;","plainTextFormattedCitation":"3","previouslyFormattedCitation":"&lt;sup&gt;1&lt;/sup&gt;"},"properties":{"noteIndex":0},"schema":"https://github.com/citation-style-language/schema/raw/master/csl-citation.json"}</w:instrText>
      </w:r>
      <w:r w:rsidR="00852535" w:rsidRPr="0075172C">
        <w:rPr>
          <w:sz w:val="20"/>
          <w:szCs w:val="20"/>
          <w:lang w:bidi="en-US"/>
        </w:rPr>
        <w:fldChar w:fldCharType="separate"/>
      </w:r>
      <w:r w:rsidR="00DA1785" w:rsidRPr="00DA1785">
        <w:rPr>
          <w:noProof/>
          <w:sz w:val="20"/>
          <w:szCs w:val="20"/>
          <w:vertAlign w:val="superscript"/>
          <w:lang w:bidi="en-US"/>
        </w:rPr>
        <w:t>3</w:t>
      </w:r>
      <w:r w:rsidR="00852535" w:rsidRPr="0075172C">
        <w:rPr>
          <w:sz w:val="20"/>
          <w:szCs w:val="20"/>
          <w:lang w:bidi="en-US"/>
        </w:rPr>
        <w:fldChar w:fldCharType="end"/>
      </w:r>
      <w:r w:rsidR="00852535" w:rsidRPr="0075172C">
        <w:rPr>
          <w:sz w:val="20"/>
          <w:szCs w:val="20"/>
          <w:lang w:bidi="en-US"/>
        </w:rPr>
        <w:t xml:space="preserve">; (2) Intel® MKL Library SIMD-oriented Fast </w:t>
      </w:r>
      <w:proofErr w:type="spellStart"/>
      <w:r w:rsidR="00852535" w:rsidRPr="0075172C">
        <w:rPr>
          <w:sz w:val="20"/>
          <w:szCs w:val="20"/>
          <w:lang w:bidi="en-US"/>
        </w:rPr>
        <w:t>Mersenne</w:t>
      </w:r>
      <w:proofErr w:type="spellEnd"/>
      <w:r w:rsidR="00852535" w:rsidRPr="0075172C">
        <w:rPr>
          <w:sz w:val="20"/>
          <w:szCs w:val="20"/>
          <w:lang w:bidi="en-US"/>
        </w:rPr>
        <w:t xml:space="preserve"> Twister (FMT)</w:t>
      </w:r>
      <w:r w:rsidR="00852535" w:rsidRPr="0075172C">
        <w:rPr>
          <w:sz w:val="20"/>
          <w:szCs w:val="20"/>
          <w:lang w:bidi="en-US"/>
        </w:rPr>
        <w:fldChar w:fldCharType="begin" w:fldLock="1"/>
      </w:r>
      <w:r w:rsidR="00DA1785">
        <w:rPr>
          <w:sz w:val="20"/>
          <w:szCs w:val="20"/>
          <w:lang w:bidi="en-US"/>
        </w:rPr>
        <w:instrText>ADDIN CSL_CITATION {"citationItems":[{"id":"ITEM-1","itemData":{"DOI":"10.1007/978-3-540-74496-2_36","ISBN":"978-3-540-74495-5","abstract":"Mersenne Twister (MT) is a widely-used fast pseudorandom number generator (PRNG) with a long period of 219937 - 1, designed 10 years ago based on 32-bit operations. In this decade, CPUs for personal computers have acquired new features, such as Single Instruction Multiple Data (SIMD) operations (i.e., 128-bit operations) and multi-stage pipelines. Here we propose a 128-bit based PRNG, named SIMD-oriented Fast Mersenne Twister (SFMT), which is analogous to MT but making full use of these features. Its recursion fits pipeline processing better than MT, and it is roughly twice as fast as optimised MT using SIMD operations. Moreover, the dimension of equidistribution of SFMT is better than MT. We also introduce a block-generation function, which fills an array of 32-bit integers in one call. It speeds up the generation by a factor of two. A speed comparison with other modern generators, such as multiplicative recursive generators, shows an advantage of SFMT. The implemented C-codes are downloadable from http ://www.math.sci.hiroshima-u.ac.jp/~m-mat/MT/SFMT/index.html.","author":[{"dropping-particle":"","family":"Saito","given":"Mutsuo","non-dropping-particle":"","parse-names":false,"suffix":""},{"dropping-particle":"","family":"Matsumoto","given":"Makoto","non-dropping-particle":"","parse-names":false,"suffix":""}],"container-title":"Monte Carlo and Quasi-Monte Carlo Methods 2006","id":"ITEM-1","issue":"18654021","issued":{"date-parts":[["2008"]]},"page":"607-622","publisher":"Springer-Verlag","publisher-place":"Berlin, Heidelberg","title":"SIMD-Oriented Fast Mersenne Twister: a 128-bit Pseudorandom Number Generator","type":"chapter"},"uris":["http://www.mendeley.com/documents/?uuid=c6ea9de9-cd74-44bf-baf2-2190b24fb8b7"]}],"mendeley":{"formattedCitation":"&lt;sup&gt;4&lt;/sup&gt;","plainTextFormattedCitation":"4","previouslyFormattedCitation":"&lt;sup&gt;2&lt;/sup&gt;"},"properties":{"noteIndex":0},"schema":"https://github.com/citation-style-language/schema/raw/master/csl-citation.json"}</w:instrText>
      </w:r>
      <w:r w:rsidR="00852535" w:rsidRPr="0075172C">
        <w:rPr>
          <w:sz w:val="20"/>
          <w:szCs w:val="20"/>
          <w:lang w:bidi="en-US"/>
        </w:rPr>
        <w:fldChar w:fldCharType="separate"/>
      </w:r>
      <w:r w:rsidR="00DA1785" w:rsidRPr="00DA1785">
        <w:rPr>
          <w:noProof/>
          <w:sz w:val="20"/>
          <w:szCs w:val="20"/>
          <w:vertAlign w:val="superscript"/>
          <w:lang w:bidi="en-US"/>
        </w:rPr>
        <w:t>4</w:t>
      </w:r>
      <w:r w:rsidR="00852535" w:rsidRPr="0075172C">
        <w:rPr>
          <w:sz w:val="20"/>
          <w:szCs w:val="20"/>
          <w:lang w:bidi="en-US"/>
        </w:rPr>
        <w:fldChar w:fldCharType="end"/>
      </w:r>
      <w:r w:rsidR="00852535" w:rsidRPr="0075172C">
        <w:rPr>
          <w:sz w:val="20"/>
          <w:szCs w:val="20"/>
          <w:lang w:bidi="en-US"/>
        </w:rPr>
        <w:t>; (3) Intel® MKL Library multiplicative congruential generator (MCG)</w:t>
      </w:r>
      <w:r w:rsidR="00852535" w:rsidRPr="0075172C">
        <w:rPr>
          <w:sz w:val="20"/>
          <w:szCs w:val="20"/>
          <w:lang w:bidi="en-US"/>
        </w:rPr>
        <w:fldChar w:fldCharType="begin" w:fldLock="1"/>
      </w:r>
      <w:r w:rsidR="00DA1785">
        <w:rPr>
          <w:sz w:val="20"/>
          <w:szCs w:val="20"/>
          <w:lang w:bidi="en-US"/>
        </w:rPr>
        <w:instrText>ADDIN CSL_CITATION {"citationItems":[{"id":"ITEM-1","itemData":{"DOI":"10.1090/S0025-5718-99-00996-5","ISBN":"0-201-03822-6","ISSN":"0025-5718","abstract":"We provide sets of parameters for multiplicative linear congruen-tial generators (MLCGs) of different sizes and good performance with respect to the spectral test. For = 8, 9, . . . , 64, 127, 128, we take as a modulus m the largest prime smaller than 2 , and provide a list of multipliers a such that the MLCG with modulus m and multiplier a has a good lattice structure in dimensions 2 to 32. We provide similar lists for power-of-two moduli m = 2 , for multiplicative and non-multiplicative LCGs.","author":[{"dropping-particle":"","family":"L'Ecuyer","given":"Pierre","non-dropping-particle":"","parse-names":false,"suffix":""}],"container-title":"Mathematics of Computation","id":"ITEM-1","issue":"225","issued":{"date-parts":[["1999","1","1"]]},"page":"249-261","title":"Tables of linear congruential generators of different sizes and good lattice structure","type":"article-journal","volume":"68"},"uris":["http://www.mendeley.com/documents/?uuid=9d059f08-8e98-4f68-b0d1-985e57721682"]}],"mendeley":{"formattedCitation":"&lt;sup&gt;5&lt;/sup&gt;","plainTextFormattedCitation":"5","previouslyFormattedCitation":"&lt;sup&gt;3&lt;/sup&gt;"},"properties":{"noteIndex":0},"schema":"https://github.com/citation-style-language/schema/raw/master/csl-citation.json"}</w:instrText>
      </w:r>
      <w:r w:rsidR="00852535" w:rsidRPr="0075172C">
        <w:rPr>
          <w:sz w:val="20"/>
          <w:szCs w:val="20"/>
          <w:lang w:bidi="en-US"/>
        </w:rPr>
        <w:fldChar w:fldCharType="separate"/>
      </w:r>
      <w:r w:rsidR="00DA1785" w:rsidRPr="00DA1785">
        <w:rPr>
          <w:noProof/>
          <w:sz w:val="20"/>
          <w:szCs w:val="20"/>
          <w:vertAlign w:val="superscript"/>
          <w:lang w:bidi="en-US"/>
        </w:rPr>
        <w:t>5</w:t>
      </w:r>
      <w:r w:rsidR="00852535" w:rsidRPr="0075172C">
        <w:rPr>
          <w:sz w:val="20"/>
          <w:szCs w:val="20"/>
          <w:lang w:bidi="en-US"/>
        </w:rPr>
        <w:fldChar w:fldCharType="end"/>
      </w:r>
      <w:r w:rsidR="00852535" w:rsidRPr="0075172C">
        <w:rPr>
          <w:sz w:val="20"/>
          <w:szCs w:val="20"/>
          <w:lang w:bidi="en-US"/>
        </w:rPr>
        <w:t>; and (4) Intel® MKL Library combined multiple recursive generator (MRG)</w:t>
      </w:r>
      <w:r w:rsidR="00852535" w:rsidRPr="0075172C">
        <w:rPr>
          <w:sz w:val="20"/>
          <w:szCs w:val="20"/>
          <w:lang w:bidi="en-US"/>
        </w:rPr>
        <w:fldChar w:fldCharType="begin" w:fldLock="1"/>
      </w:r>
      <w:r w:rsidR="00DA1785">
        <w:rPr>
          <w:sz w:val="20"/>
          <w:szCs w:val="20"/>
          <w:lang w:bidi="en-US"/>
        </w:rPr>
        <w:instrText>ADDIN CSL_CITATION {"citationItems":[{"id":"ITEM-1","itemData":{"DOI":"10.1287/opre.47.1.159","ISBN":"0030364X (ISSN)","ISSN":"0030-364X","abstract":"Combining parallel multiple recursive sequences provides an efficient way of implementing random number generators with long periods and good structural properties. Such generators are statistically more robust than simple linear congruential generators that fit into a computer word. We made extensive computer searches for good parameter sets, with respect to the spectral test, for combined multiple recursive generators of different sizes. We also compare different implementations and give a specific code in C that is faster than previous implementations of similar generators.","author":[{"dropping-particle":"","family":"L'Ecuyer","given":"Pierre","non-dropping-particle":"","parse-names":false,"suffix":""}],"container-title":"Operations Research","id":"ITEM-1","issue":"1","issued":{"date-parts":[["1999","2"]]},"page":"159-164","title":"Good Parameters and Implementations for Combined Multiple Recursive Random Number Generators","type":"article-journal","volume":"47"},"uris":["http://www.mendeley.com/documents/?uuid=8d1113ed-1bc8-4f0e-a576-60ba56fafa2c"]}],"mendeley":{"formattedCitation":"&lt;sup&gt;6&lt;/sup&gt;","plainTextFormattedCitation":"6","previouslyFormattedCitation":"&lt;sup&gt;4&lt;/sup&gt;"},"properties":{"noteIndex":0},"schema":"https://github.com/citation-style-language/schema/raw/master/csl-citation.json"}</w:instrText>
      </w:r>
      <w:r w:rsidR="00852535" w:rsidRPr="0075172C">
        <w:rPr>
          <w:sz w:val="20"/>
          <w:szCs w:val="20"/>
          <w:lang w:bidi="en-US"/>
        </w:rPr>
        <w:fldChar w:fldCharType="separate"/>
      </w:r>
      <w:r w:rsidR="00DA1785" w:rsidRPr="00DA1785">
        <w:rPr>
          <w:noProof/>
          <w:sz w:val="20"/>
          <w:szCs w:val="20"/>
          <w:vertAlign w:val="superscript"/>
          <w:lang w:bidi="en-US"/>
        </w:rPr>
        <w:t>6</w:t>
      </w:r>
      <w:r w:rsidR="00852535" w:rsidRPr="0075172C">
        <w:rPr>
          <w:sz w:val="20"/>
          <w:szCs w:val="20"/>
          <w:lang w:bidi="en-US"/>
        </w:rPr>
        <w:fldChar w:fldCharType="end"/>
      </w:r>
      <w:r w:rsidR="00852535" w:rsidRPr="0075172C">
        <w:rPr>
          <w:sz w:val="20"/>
          <w:szCs w:val="20"/>
          <w:lang w:bidi="en-US"/>
        </w:rPr>
        <w:t>. Rate constant values from three of the four generators were in close agre</w:t>
      </w:r>
      <w:r>
        <w:rPr>
          <w:sz w:val="20"/>
          <w:szCs w:val="20"/>
          <w:lang w:bidi="en-US"/>
        </w:rPr>
        <w:t>ement across all methods (Fig. S1</w:t>
      </w:r>
      <w:r w:rsidR="00852535" w:rsidRPr="0075172C">
        <w:rPr>
          <w:sz w:val="20"/>
          <w:szCs w:val="20"/>
          <w:lang w:bidi="en-US"/>
        </w:rPr>
        <w:t>). The MCG algorithm exhibited greater variability and systemic biases compared to the other three generators and is not recommended for use in our model. Most simulations employed the ran2 algorithm. In the small number of cases with large barriers where the performance of the random number generator was in doubt, repeating the simulations with the FMT and MRG algorithms confirmed the ran2 results.</w:t>
      </w:r>
    </w:p>
    <w:p w:rsidR="00852535" w:rsidRDefault="00852535" w:rsidP="00852535">
      <w:pPr>
        <w:pStyle w:val="NormalWeb"/>
        <w:shd w:val="clear" w:color="auto" w:fill="FFFFFF"/>
        <w:spacing w:after="120" w:line="480" w:lineRule="auto"/>
        <w:ind w:firstLine="426"/>
        <w:jc w:val="both"/>
        <w:rPr>
          <w:noProof/>
        </w:rPr>
      </w:pPr>
      <w:r>
        <w:rPr>
          <w:sz w:val="20"/>
          <w:szCs w:val="20"/>
          <w:lang w:bidi="en-US"/>
        </w:rPr>
        <w:lastRenderedPageBreak/>
        <w:tab/>
      </w:r>
      <w:r>
        <w:rPr>
          <w:sz w:val="20"/>
          <w:szCs w:val="20"/>
          <w:lang w:bidi="en-US"/>
        </w:rPr>
        <w:tab/>
      </w:r>
      <w:r>
        <w:rPr>
          <w:sz w:val="20"/>
          <w:szCs w:val="20"/>
          <w:lang w:bidi="en-US"/>
        </w:rPr>
        <w:tab/>
      </w:r>
      <w:r>
        <w:rPr>
          <w:noProof/>
        </w:rPr>
        <w:drawing>
          <wp:inline distT="0" distB="0" distL="0" distR="0">
            <wp:extent cx="2787650" cy="2184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7650" cy="2184400"/>
                    </a:xfrm>
                    <a:prstGeom prst="rect">
                      <a:avLst/>
                    </a:prstGeom>
                    <a:noFill/>
                    <a:ln>
                      <a:noFill/>
                    </a:ln>
                  </pic:spPr>
                </pic:pic>
              </a:graphicData>
            </a:graphic>
          </wp:inline>
        </w:drawing>
      </w:r>
    </w:p>
    <w:p w:rsidR="00852535" w:rsidRDefault="00852535" w:rsidP="00852535">
      <w:pPr>
        <w:pStyle w:val="NormalWeb"/>
        <w:shd w:val="clear" w:color="auto" w:fill="FFFFFF"/>
        <w:spacing w:after="120" w:line="480" w:lineRule="auto"/>
        <w:jc w:val="both"/>
        <w:rPr>
          <w:sz w:val="20"/>
          <w:szCs w:val="20"/>
          <w:lang w:bidi="en-US"/>
        </w:rPr>
      </w:pPr>
      <w:r w:rsidRPr="00E118DD">
        <w:rPr>
          <w:sz w:val="18"/>
          <w:szCs w:val="18"/>
          <w:lang w:bidi="en-US"/>
        </w:rPr>
        <w:t xml:space="preserve">FIG. </w:t>
      </w:r>
      <w:r w:rsidR="0075172C">
        <w:rPr>
          <w:sz w:val="18"/>
          <w:szCs w:val="18"/>
          <w:lang w:bidi="en-US"/>
        </w:rPr>
        <w:t>S1</w:t>
      </w:r>
      <w:r w:rsidRPr="00E118DD">
        <w:rPr>
          <w:sz w:val="18"/>
          <w:szCs w:val="18"/>
          <w:lang w:bidi="en-US"/>
        </w:rPr>
        <w:t>.</w:t>
      </w:r>
      <w:r>
        <w:rPr>
          <w:sz w:val="18"/>
          <w:szCs w:val="18"/>
          <w:lang w:bidi="en-US"/>
        </w:rPr>
        <w:t xml:space="preserve"> Forward rate constant </w:t>
      </w:r>
      <w:r w:rsidRPr="00237E3E">
        <w:rPr>
          <w:i/>
          <w:sz w:val="18"/>
          <w:szCs w:val="18"/>
          <w:lang w:bidi="en-US"/>
        </w:rPr>
        <w:t>k</w:t>
      </w:r>
      <w:r>
        <w:rPr>
          <w:sz w:val="18"/>
          <w:szCs w:val="18"/>
          <w:lang w:bidi="en-US"/>
        </w:rPr>
        <w:t xml:space="preserve"> (mean </w:t>
      </w:r>
      <w:r>
        <w:rPr>
          <w:sz w:val="18"/>
          <w:szCs w:val="18"/>
          <w:lang w:bidi="en-US"/>
        </w:rPr>
        <w:sym w:font="Symbol" w:char="F0B1"/>
      </w:r>
      <w:r w:rsidR="000E783D">
        <w:rPr>
          <w:sz w:val="18"/>
          <w:szCs w:val="18"/>
          <w:lang w:bidi="en-US"/>
        </w:rPr>
        <w:t xml:space="preserve"> standard error</w:t>
      </w:r>
      <w:r>
        <w:rPr>
          <w:sz w:val="18"/>
          <w:szCs w:val="18"/>
          <w:lang w:bidi="en-US"/>
        </w:rPr>
        <w:t xml:space="preserve">, </w:t>
      </w:r>
      <w:r w:rsidRPr="005A720C">
        <w:rPr>
          <w:i/>
          <w:sz w:val="18"/>
          <w:szCs w:val="18"/>
          <w:lang w:bidi="en-US"/>
        </w:rPr>
        <w:t>n</w:t>
      </w:r>
      <w:r>
        <w:rPr>
          <w:sz w:val="18"/>
          <w:szCs w:val="18"/>
          <w:lang w:bidi="en-US"/>
        </w:rPr>
        <w:t xml:space="preserve"> = 6) calculated for standard model with different methods (DT = dwell time, EV = eigenvalue analysis, MFPT = mean first passage time) and as a function of pseudorandom number generator. Results were consistent between generators except in the case of the </w:t>
      </w:r>
      <w:r w:rsidRPr="00261CDD">
        <w:rPr>
          <w:sz w:val="18"/>
          <w:szCs w:val="18"/>
          <w:lang w:bidi="en-US"/>
        </w:rPr>
        <w:t>multiplicative congruential generator</w:t>
      </w:r>
      <w:r>
        <w:rPr>
          <w:sz w:val="18"/>
          <w:szCs w:val="18"/>
          <w:lang w:bidi="en-US"/>
        </w:rPr>
        <w:t xml:space="preserve"> (MCG), which demonstrated lower accuracy and precision compared to the other three generators.</w:t>
      </w:r>
    </w:p>
    <w:p w:rsidR="00852535" w:rsidRDefault="00852535" w:rsidP="00852535">
      <w:pPr>
        <w:pStyle w:val="NormalWeb"/>
        <w:shd w:val="clear" w:color="auto" w:fill="FFFFFF"/>
        <w:spacing w:after="120" w:line="480" w:lineRule="auto"/>
        <w:ind w:firstLine="426"/>
        <w:jc w:val="both"/>
        <w:rPr>
          <w:sz w:val="20"/>
          <w:szCs w:val="20"/>
          <w:lang w:bidi="en-US"/>
        </w:rPr>
      </w:pPr>
      <w:r>
        <w:rPr>
          <w:sz w:val="20"/>
          <w:szCs w:val="20"/>
          <w:lang w:bidi="en-US"/>
        </w:rPr>
        <w:t>A second source of potential error related to a rebalancing procedure</w:t>
      </w:r>
      <w:r w:rsidRPr="00D05F71">
        <w:rPr>
          <w:sz w:val="20"/>
          <w:szCs w:val="20"/>
          <w:lang w:bidi="en-US"/>
        </w:rPr>
        <w:t xml:space="preserve"> </w:t>
      </w:r>
      <w:r>
        <w:rPr>
          <w:sz w:val="20"/>
          <w:szCs w:val="20"/>
          <w:lang w:bidi="en-US"/>
        </w:rPr>
        <w:t xml:space="preserve">used to maintain equilibrium relations. Since branching coefficients were obtained from MMC simulation, statistical error was unavoidable. In order to re-establish detailed balance between opposing </w:t>
      </w:r>
      <w:r w:rsidR="000E783D">
        <w:rPr>
          <w:sz w:val="20"/>
          <w:szCs w:val="20"/>
          <w:lang w:bidi="en-US"/>
        </w:rPr>
        <w:t xml:space="preserve">diffusion </w:t>
      </w:r>
      <w:r>
        <w:rPr>
          <w:sz w:val="20"/>
          <w:szCs w:val="20"/>
          <w:lang w:bidi="en-US"/>
        </w:rPr>
        <w:t xml:space="preserve">rates </w:t>
      </w:r>
      <w:proofErr w:type="spellStart"/>
      <w:r w:rsidRPr="00A14AED">
        <w:rPr>
          <w:i/>
          <w:sz w:val="20"/>
          <w:szCs w:val="20"/>
          <w:lang w:bidi="en-US"/>
        </w:rPr>
        <w:t>a</w:t>
      </w:r>
      <w:r w:rsidRPr="00A14AED">
        <w:rPr>
          <w:i/>
          <w:sz w:val="20"/>
          <w:szCs w:val="20"/>
          <w:vertAlign w:val="subscript"/>
          <w:lang w:bidi="en-US"/>
        </w:rPr>
        <w:t>kk</w:t>
      </w:r>
      <w:proofErr w:type="spellEnd"/>
      <w:r w:rsidRPr="00A14AED">
        <w:rPr>
          <w:sz w:val="20"/>
          <w:szCs w:val="20"/>
          <w:vertAlign w:val="subscript"/>
          <w:lang w:bidi="en-US"/>
        </w:rPr>
        <w:t>′</w:t>
      </w:r>
      <w:r>
        <w:rPr>
          <w:sz w:val="20"/>
          <w:szCs w:val="20"/>
          <w:lang w:bidi="en-US"/>
        </w:rPr>
        <w:t xml:space="preserve"> and </w:t>
      </w:r>
      <w:proofErr w:type="spellStart"/>
      <w:r>
        <w:rPr>
          <w:i/>
          <w:sz w:val="20"/>
          <w:szCs w:val="20"/>
          <w:lang w:bidi="en-US"/>
        </w:rPr>
        <w:t>b</w:t>
      </w:r>
      <w:r w:rsidRPr="00A14AED">
        <w:rPr>
          <w:i/>
          <w:sz w:val="20"/>
          <w:szCs w:val="20"/>
          <w:vertAlign w:val="subscript"/>
          <w:lang w:bidi="en-US"/>
        </w:rPr>
        <w:t>k</w:t>
      </w:r>
      <w:r w:rsidRPr="00A14AED">
        <w:rPr>
          <w:sz w:val="20"/>
          <w:szCs w:val="20"/>
          <w:vertAlign w:val="subscript"/>
          <w:lang w:bidi="en-US"/>
        </w:rPr>
        <w:t>′</w:t>
      </w:r>
      <w:r w:rsidRPr="00A14AED">
        <w:rPr>
          <w:i/>
          <w:sz w:val="20"/>
          <w:szCs w:val="20"/>
          <w:vertAlign w:val="subscript"/>
          <w:lang w:bidi="en-US"/>
        </w:rPr>
        <w:t>k</w:t>
      </w:r>
      <w:proofErr w:type="spellEnd"/>
      <w:r>
        <w:rPr>
          <w:sz w:val="20"/>
          <w:szCs w:val="20"/>
          <w:lang w:bidi="en-US"/>
        </w:rPr>
        <w:t xml:space="preserve"> in accordance with known equilibrium probabilities </w:t>
      </w:r>
      <w:proofErr w:type="spellStart"/>
      <w:r w:rsidRPr="00D103BC">
        <w:rPr>
          <w:i/>
          <w:sz w:val="20"/>
          <w:szCs w:val="20"/>
          <w:lang w:bidi="en-US"/>
        </w:rPr>
        <w:t>p</w:t>
      </w:r>
      <w:r w:rsidRPr="00D103BC">
        <w:rPr>
          <w:i/>
          <w:sz w:val="20"/>
          <w:szCs w:val="20"/>
          <w:vertAlign w:val="subscript"/>
          <w:lang w:bidi="en-US"/>
        </w:rPr>
        <w:t>k</w:t>
      </w:r>
      <w:proofErr w:type="spellEnd"/>
      <w:r>
        <w:rPr>
          <w:sz w:val="20"/>
          <w:szCs w:val="20"/>
          <w:lang w:bidi="en-US"/>
        </w:rPr>
        <w:t>, the rates needed to be rebalanced according to the following prescription:</w:t>
      </w:r>
    </w:p>
    <w:p w:rsidR="00434693" w:rsidRDefault="00852535" w:rsidP="00434693">
      <w:pPr>
        <w:pStyle w:val="NormalWeb"/>
        <w:shd w:val="clear" w:color="auto" w:fill="FFFFFF"/>
        <w:spacing w:after="120" w:line="480" w:lineRule="auto"/>
        <w:ind w:firstLine="426"/>
        <w:jc w:val="both"/>
        <w:rPr>
          <w:sz w:val="20"/>
          <w:szCs w:val="20"/>
          <w:lang w:bidi="en-US"/>
        </w:rPr>
      </w:pPr>
      <w:r w:rsidRPr="00421A2C">
        <w:rPr>
          <w:position w:val="-28"/>
          <w:sz w:val="20"/>
          <w:szCs w:val="20"/>
          <w:lang w:bidi="en-US"/>
        </w:rPr>
        <w:object w:dxaOrig="15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pt;height:32.25pt" o:ole="">
            <v:imagedata r:id="rId7" o:title=""/>
          </v:shape>
          <o:OLEObject Type="Embed" ProgID="Equation.DSMT4" ShapeID="_x0000_i1025" DrawAspect="Content" ObjectID="_1641181533" r:id="rId8"/>
        </w:object>
      </w:r>
      <w:r>
        <w:rPr>
          <w:sz w:val="20"/>
          <w:szCs w:val="20"/>
          <w:lang w:bidi="en-US"/>
        </w:rPr>
        <w:t>,</w:t>
      </w:r>
      <w:r w:rsidR="00434693">
        <w:rPr>
          <w:sz w:val="20"/>
          <w:szCs w:val="20"/>
          <w:lang w:bidi="en-US"/>
        </w:rPr>
        <w:tab/>
      </w:r>
      <w:r w:rsidR="00434693">
        <w:rPr>
          <w:sz w:val="20"/>
          <w:szCs w:val="20"/>
          <w:lang w:bidi="en-US"/>
        </w:rPr>
        <w:tab/>
      </w:r>
    </w:p>
    <w:p w:rsidR="00852535" w:rsidRDefault="00852535" w:rsidP="00434693">
      <w:pPr>
        <w:pStyle w:val="NormalWeb"/>
        <w:shd w:val="clear" w:color="auto" w:fill="FFFFFF"/>
        <w:spacing w:after="120" w:line="480" w:lineRule="auto"/>
        <w:ind w:firstLine="426"/>
        <w:jc w:val="both"/>
        <w:rPr>
          <w:sz w:val="20"/>
          <w:szCs w:val="20"/>
          <w:lang w:bidi="en-US"/>
        </w:rPr>
      </w:pPr>
      <w:r w:rsidRPr="00421A2C">
        <w:rPr>
          <w:position w:val="-28"/>
          <w:sz w:val="20"/>
          <w:szCs w:val="20"/>
          <w:lang w:bidi="en-US"/>
        </w:rPr>
        <w:object w:dxaOrig="1500" w:dyaOrig="660">
          <v:shape id="_x0000_i1026" type="#_x0000_t75" style="width:74.9pt;height:32.25pt" o:ole="">
            <v:imagedata r:id="rId9" o:title=""/>
          </v:shape>
          <o:OLEObject Type="Embed" ProgID="Equation.DSMT4" ShapeID="_x0000_i1026" DrawAspect="Content" ObjectID="_1641181534" r:id="rId10"/>
        </w:object>
      </w:r>
      <w:r>
        <w:rPr>
          <w:sz w:val="20"/>
          <w:szCs w:val="20"/>
          <w:lang w:bidi="en-US"/>
        </w:rPr>
        <w:t>,</w:t>
      </w:r>
    </w:p>
    <w:p w:rsidR="0069424B" w:rsidRPr="00515E4B" w:rsidRDefault="00852535" w:rsidP="0069424B">
      <w:pPr>
        <w:pStyle w:val="NormalWeb"/>
        <w:shd w:val="clear" w:color="auto" w:fill="FFFFFF"/>
        <w:spacing w:after="120" w:line="480" w:lineRule="auto"/>
        <w:jc w:val="both"/>
        <w:rPr>
          <w:sz w:val="20"/>
          <w:szCs w:val="20"/>
          <w:lang w:bidi="en-US"/>
        </w:rPr>
      </w:pPr>
      <w:proofErr w:type="gramStart"/>
      <w:r>
        <w:rPr>
          <w:sz w:val="20"/>
          <w:szCs w:val="20"/>
          <w:lang w:bidi="en-US"/>
        </w:rPr>
        <w:t>where</w:t>
      </w:r>
      <w:proofErr w:type="gramEnd"/>
      <w:r>
        <w:rPr>
          <w:sz w:val="20"/>
          <w:szCs w:val="20"/>
          <w:lang w:bidi="en-US"/>
        </w:rPr>
        <w:t xml:space="preserve"> </w:t>
      </w:r>
      <w:r w:rsidRPr="00421A2C">
        <w:rPr>
          <w:i/>
          <w:sz w:val="20"/>
          <w:szCs w:val="20"/>
          <w:lang w:bidi="en-US"/>
        </w:rPr>
        <w:t>a</w:t>
      </w:r>
      <w:r>
        <w:rPr>
          <w:sz w:val="20"/>
          <w:szCs w:val="20"/>
          <w:lang w:bidi="en-US"/>
        </w:rPr>
        <w:t xml:space="preserve"> and </w:t>
      </w:r>
      <w:r w:rsidRPr="00421A2C">
        <w:rPr>
          <w:i/>
          <w:sz w:val="20"/>
          <w:szCs w:val="20"/>
          <w:lang w:bidi="en-US"/>
        </w:rPr>
        <w:t>b</w:t>
      </w:r>
      <w:r>
        <w:rPr>
          <w:sz w:val="20"/>
          <w:szCs w:val="20"/>
          <w:lang w:bidi="en-US"/>
        </w:rPr>
        <w:t xml:space="preserve"> are the adjusted rate constants. Rebalancing preserves the correct equilibrium distribution while maintaining the geometric mean between rate constants. For small relative errors </w:t>
      </w:r>
      <w:r w:rsidRPr="00421A2C">
        <w:rPr>
          <w:rFonts w:ascii="Symbol" w:hAnsi="Symbol"/>
          <w:i/>
          <w:sz w:val="20"/>
          <w:szCs w:val="20"/>
          <w:lang w:bidi="en-US"/>
        </w:rPr>
        <w:t></w:t>
      </w:r>
      <w:r w:rsidRPr="00421A2C">
        <w:rPr>
          <w:i/>
          <w:sz w:val="20"/>
          <w:szCs w:val="20"/>
          <w:vertAlign w:val="subscript"/>
          <w:lang w:bidi="en-US"/>
        </w:rPr>
        <w:t>a</w:t>
      </w:r>
      <w:r>
        <w:rPr>
          <w:sz w:val="20"/>
          <w:szCs w:val="20"/>
          <w:lang w:bidi="en-US"/>
        </w:rPr>
        <w:t xml:space="preserve"> and </w:t>
      </w:r>
      <w:r w:rsidRPr="00421A2C">
        <w:rPr>
          <w:rFonts w:ascii="Symbol" w:hAnsi="Symbol"/>
          <w:i/>
          <w:sz w:val="20"/>
          <w:szCs w:val="20"/>
          <w:lang w:bidi="en-US"/>
        </w:rPr>
        <w:t></w:t>
      </w:r>
      <w:r w:rsidRPr="00421A2C">
        <w:rPr>
          <w:i/>
          <w:sz w:val="20"/>
          <w:szCs w:val="20"/>
          <w:vertAlign w:val="subscript"/>
          <w:lang w:bidi="en-US"/>
        </w:rPr>
        <w:t>b</w:t>
      </w:r>
      <w:r>
        <w:rPr>
          <w:sz w:val="20"/>
          <w:szCs w:val="20"/>
          <w:lang w:bidi="en-US"/>
        </w:rPr>
        <w:t xml:space="preserve"> in the unbalanced rates </w:t>
      </w:r>
      <w:proofErr w:type="spellStart"/>
      <w:r w:rsidRPr="00A14AED">
        <w:rPr>
          <w:i/>
          <w:sz w:val="20"/>
          <w:szCs w:val="20"/>
          <w:lang w:bidi="en-US"/>
        </w:rPr>
        <w:t>a</w:t>
      </w:r>
      <w:r w:rsidRPr="00A14AED">
        <w:rPr>
          <w:i/>
          <w:sz w:val="20"/>
          <w:szCs w:val="20"/>
          <w:vertAlign w:val="subscript"/>
          <w:lang w:bidi="en-US"/>
        </w:rPr>
        <w:t>kk</w:t>
      </w:r>
      <w:proofErr w:type="spellEnd"/>
      <w:r w:rsidRPr="00A14AED">
        <w:rPr>
          <w:sz w:val="20"/>
          <w:szCs w:val="20"/>
          <w:vertAlign w:val="subscript"/>
          <w:lang w:bidi="en-US"/>
        </w:rPr>
        <w:t>′</w:t>
      </w:r>
      <w:r>
        <w:rPr>
          <w:sz w:val="20"/>
          <w:szCs w:val="20"/>
          <w:lang w:bidi="en-US"/>
        </w:rPr>
        <w:t xml:space="preserve"> and </w:t>
      </w:r>
      <w:proofErr w:type="spellStart"/>
      <w:r>
        <w:rPr>
          <w:i/>
          <w:sz w:val="20"/>
          <w:szCs w:val="20"/>
          <w:lang w:bidi="en-US"/>
        </w:rPr>
        <w:t>b</w:t>
      </w:r>
      <w:r w:rsidRPr="00A14AED">
        <w:rPr>
          <w:i/>
          <w:sz w:val="20"/>
          <w:szCs w:val="20"/>
          <w:vertAlign w:val="subscript"/>
          <w:lang w:bidi="en-US"/>
        </w:rPr>
        <w:t>k</w:t>
      </w:r>
      <w:r w:rsidRPr="00A14AED">
        <w:rPr>
          <w:sz w:val="20"/>
          <w:szCs w:val="20"/>
          <w:vertAlign w:val="subscript"/>
          <w:lang w:bidi="en-US"/>
        </w:rPr>
        <w:t>′</w:t>
      </w:r>
      <w:r w:rsidRPr="00A14AED">
        <w:rPr>
          <w:i/>
          <w:sz w:val="20"/>
          <w:szCs w:val="20"/>
          <w:vertAlign w:val="subscript"/>
          <w:lang w:bidi="en-US"/>
        </w:rPr>
        <w:t>k</w:t>
      </w:r>
      <w:proofErr w:type="spellEnd"/>
      <w:r>
        <w:rPr>
          <w:sz w:val="20"/>
          <w:szCs w:val="20"/>
          <w:lang w:bidi="en-US"/>
        </w:rPr>
        <w:t xml:space="preserve">, the first order relative error in each balanced rate is: (1 + </w:t>
      </w:r>
      <w:r w:rsidRPr="00421A2C">
        <w:rPr>
          <w:rFonts w:ascii="Symbol" w:hAnsi="Symbol"/>
          <w:i/>
          <w:sz w:val="20"/>
          <w:szCs w:val="20"/>
          <w:lang w:bidi="en-US"/>
        </w:rPr>
        <w:t></w:t>
      </w:r>
      <w:r w:rsidRPr="00421A2C">
        <w:rPr>
          <w:i/>
          <w:sz w:val="20"/>
          <w:szCs w:val="20"/>
          <w:vertAlign w:val="subscript"/>
          <w:lang w:bidi="en-US"/>
        </w:rPr>
        <w:t>a</w:t>
      </w:r>
      <w:r>
        <w:rPr>
          <w:sz w:val="20"/>
          <w:szCs w:val="20"/>
          <w:lang w:bidi="en-US"/>
        </w:rPr>
        <w:t xml:space="preserve"> + </w:t>
      </w:r>
      <w:r w:rsidRPr="00421A2C">
        <w:rPr>
          <w:rFonts w:ascii="Symbol" w:hAnsi="Symbol"/>
          <w:i/>
          <w:sz w:val="20"/>
          <w:szCs w:val="20"/>
          <w:lang w:bidi="en-US"/>
        </w:rPr>
        <w:t></w:t>
      </w:r>
      <w:r w:rsidRPr="00421A2C">
        <w:rPr>
          <w:i/>
          <w:sz w:val="20"/>
          <w:szCs w:val="20"/>
          <w:vertAlign w:val="subscript"/>
          <w:lang w:bidi="en-US"/>
        </w:rPr>
        <w:t>b</w:t>
      </w:r>
      <w:proofErr w:type="gramStart"/>
      <w:r>
        <w:rPr>
          <w:sz w:val="20"/>
          <w:szCs w:val="20"/>
          <w:lang w:bidi="en-US"/>
        </w:rPr>
        <w:t>)</w:t>
      </w:r>
      <w:r>
        <w:rPr>
          <w:sz w:val="20"/>
          <w:szCs w:val="20"/>
          <w:vertAlign w:val="superscript"/>
          <w:lang w:bidi="en-US"/>
        </w:rPr>
        <w:t>1</w:t>
      </w:r>
      <w:proofErr w:type="gramEnd"/>
      <w:r>
        <w:rPr>
          <w:sz w:val="20"/>
          <w:szCs w:val="20"/>
          <w:vertAlign w:val="superscript"/>
          <w:lang w:bidi="en-US"/>
        </w:rPr>
        <w:t>/2</w:t>
      </w:r>
      <w:r>
        <w:rPr>
          <w:sz w:val="20"/>
          <w:szCs w:val="20"/>
          <w:lang w:bidi="en-US"/>
        </w:rPr>
        <w:t xml:space="preserve"> – 1. Thus systemic bias should be minimized if </w:t>
      </w:r>
      <w:r w:rsidRPr="00421A2C">
        <w:rPr>
          <w:rFonts w:ascii="Symbol" w:hAnsi="Symbol"/>
          <w:i/>
          <w:sz w:val="20"/>
          <w:szCs w:val="20"/>
          <w:lang w:bidi="en-US"/>
        </w:rPr>
        <w:t></w:t>
      </w:r>
      <w:r w:rsidRPr="00421A2C">
        <w:rPr>
          <w:i/>
          <w:sz w:val="20"/>
          <w:szCs w:val="20"/>
          <w:vertAlign w:val="subscript"/>
          <w:lang w:bidi="en-US"/>
        </w:rPr>
        <w:t>a</w:t>
      </w:r>
      <w:r>
        <w:rPr>
          <w:sz w:val="20"/>
          <w:szCs w:val="20"/>
          <w:lang w:bidi="en-US"/>
        </w:rPr>
        <w:t xml:space="preserve"> and </w:t>
      </w:r>
      <w:r w:rsidRPr="00421A2C">
        <w:rPr>
          <w:rFonts w:ascii="Symbol" w:hAnsi="Symbol"/>
          <w:i/>
          <w:sz w:val="20"/>
          <w:szCs w:val="20"/>
          <w:lang w:bidi="en-US"/>
        </w:rPr>
        <w:t></w:t>
      </w:r>
      <w:r w:rsidRPr="00421A2C">
        <w:rPr>
          <w:i/>
          <w:sz w:val="20"/>
          <w:szCs w:val="20"/>
          <w:vertAlign w:val="subscript"/>
          <w:lang w:bidi="en-US"/>
        </w:rPr>
        <w:t>b</w:t>
      </w:r>
      <w:r>
        <w:rPr>
          <w:sz w:val="20"/>
          <w:szCs w:val="20"/>
          <w:lang w:bidi="en-US"/>
        </w:rPr>
        <w:t xml:space="preserve"> are themselves unbiased. In practice, omitting the rebalancing step prior to </w:t>
      </w:r>
      <w:proofErr w:type="spellStart"/>
      <w:r>
        <w:rPr>
          <w:sz w:val="20"/>
          <w:szCs w:val="20"/>
          <w:lang w:bidi="en-US"/>
        </w:rPr>
        <w:t>mfpt</w:t>
      </w:r>
      <w:proofErr w:type="spellEnd"/>
      <w:r>
        <w:rPr>
          <w:sz w:val="20"/>
          <w:szCs w:val="20"/>
          <w:lang w:bidi="en-US"/>
        </w:rPr>
        <w:t xml:space="preserve"> or dwell time analysis yielded at most a 4% difference (</w:t>
      </w:r>
      <w:r w:rsidRPr="00362E4B">
        <w:rPr>
          <w:i/>
          <w:sz w:val="20"/>
          <w:szCs w:val="20"/>
          <w:lang w:bidi="en-US"/>
        </w:rPr>
        <w:t>n</w:t>
      </w:r>
      <w:r>
        <w:rPr>
          <w:sz w:val="20"/>
          <w:szCs w:val="20"/>
          <w:lang w:bidi="en-US"/>
        </w:rPr>
        <w:t xml:space="preserve"> = 6). However, in the case of 2D eigenvalue analysis, the change was </w:t>
      </w:r>
      <w:r>
        <w:rPr>
          <w:sz w:val="20"/>
          <w:szCs w:val="20"/>
          <w:lang w:bidi="en-US"/>
        </w:rPr>
        <w:lastRenderedPageBreak/>
        <w:t xml:space="preserve">significantly larger (9.9-fold increase for unbalanced rates), </w:t>
      </w:r>
      <w:r w:rsidR="000E783D">
        <w:rPr>
          <w:sz w:val="20"/>
          <w:szCs w:val="20"/>
          <w:lang w:bidi="en-US"/>
        </w:rPr>
        <w:t xml:space="preserve">which </w:t>
      </w:r>
      <w:r w:rsidR="00E46D94">
        <w:rPr>
          <w:sz w:val="20"/>
          <w:szCs w:val="20"/>
          <w:lang w:bidi="en-US"/>
        </w:rPr>
        <w:t xml:space="preserve">was </w:t>
      </w:r>
      <w:r w:rsidR="000E783D">
        <w:rPr>
          <w:sz w:val="20"/>
          <w:szCs w:val="20"/>
          <w:lang w:bidi="en-US"/>
        </w:rPr>
        <w:t xml:space="preserve">reduced to </w:t>
      </w:r>
      <w:r w:rsidR="00E46D94">
        <w:rPr>
          <w:sz w:val="20"/>
          <w:szCs w:val="20"/>
          <w:lang w:bidi="en-US"/>
        </w:rPr>
        <w:t>30% through</w:t>
      </w:r>
      <w:r>
        <w:rPr>
          <w:sz w:val="20"/>
          <w:szCs w:val="20"/>
          <w:lang w:bidi="en-US"/>
        </w:rPr>
        <w:t xml:space="preserve"> noise reduction by using pooled rate constants from </w:t>
      </w:r>
      <w:r w:rsidR="000E783D">
        <w:rPr>
          <w:sz w:val="20"/>
          <w:szCs w:val="20"/>
          <w:lang w:bidi="en-US"/>
        </w:rPr>
        <w:t xml:space="preserve">30 experiments. The error in calculating </w:t>
      </w:r>
      <w:r>
        <w:rPr>
          <w:sz w:val="20"/>
          <w:szCs w:val="20"/>
          <w:lang w:bidi="en-US"/>
        </w:rPr>
        <w:t>2D eigenvalues is attributable to use of eigenvalue routines designed for symmetric</w:t>
      </w:r>
      <w:r w:rsidRPr="003073CD">
        <w:rPr>
          <w:sz w:val="20"/>
          <w:szCs w:val="20"/>
          <w:lang w:bidi="en-US"/>
        </w:rPr>
        <w:t xml:space="preserve"> </w:t>
      </w:r>
      <w:r>
        <w:rPr>
          <w:sz w:val="20"/>
          <w:szCs w:val="20"/>
          <w:lang w:bidi="en-US"/>
        </w:rPr>
        <w:t>matrices, as these require strict detailed balance prior to symmetrization</w:t>
      </w:r>
      <w:r>
        <w:rPr>
          <w:sz w:val="20"/>
          <w:szCs w:val="20"/>
          <w:lang w:bidi="en-US"/>
        </w:rPr>
        <w:fldChar w:fldCharType="begin" w:fldLock="1"/>
      </w:r>
      <w:r w:rsidR="00DA1785">
        <w:rPr>
          <w:sz w:val="20"/>
          <w:szCs w:val="20"/>
          <w:lang w:bidi="en-US"/>
        </w:rPr>
        <w:instrText>ADDIN CSL_CITATION {"citationItems":[{"id":"ITEM-1","itemData":{"ISSN":"0301-4622","PMID":"687770","abstract":"Subject of this paper is the transport noise in discrete systems. The transport systems are given by a number (n) of binding sites separated by energy barriers. These binding sites may be in contact outer reservoirs. The state of the systems is characterized by the occupation numbers of particles (current carriers) at these binding sites. The change in time of the occupation numbers is generated by individual \"jumps\" of particles over the energy barriers, building up the flux matter (for charged particles: the electric current). In the limit n leads to infinity continuum processes as e.g. usual diffusion are included in the transport model. The fluctuations in occupation numbers and other quantities linearly coupled to the occupation numbers may be treated with the usual master equation approach. The treatment of the fluctuation in fluxes (current) makes necessary a different theoretical approach which is presented in this paper under the assumption of vanishing interactions between the particles. This approach may be applied to a number of different transport systems in biology and physics (ion transport through porous channels in membranes, carriers mediated ion transport through membranes, jump diffusion e.g. in superionic conductors). As in the master equation approach the calculation of correlations and noise spectra may be reduced to the solution of the macroscopic equations for the occupation numbers. This result may be regarded as a generalization to non-equilibrium current fluctuations of the usual Nyquist theorem relating the current (voltage) noise spectrum in thermal equilibrium to the macroscopic frequency dependent admittance. The validity of the general approach is demonstrated by the calculation of the autocorrelation function and spectrum of current noise for a number of special examples (e.g. pores in membranes, carrier mediated ion transport).","author":[{"dropping-particle":"","family":"Frehland","given":"E","non-dropping-particle":"","parse-names":false,"suffix":""}],"container-title":"Biophysical chemistry","id":"ITEM-1","issue":"3","issued":{"date-parts":[["1978","7"]]},"page":"255-65","title":"Current noise around steady states in discrete transport systems.","type":"article-journal","volume":"8"},"uris":["http://www.mendeley.com/documents/?uuid=3127eef7-1cf9-4f1a-8a1b-5808f87f81e0"]}],"mendeley":{"formattedCitation":"&lt;sup&gt;7&lt;/sup&gt;","plainTextFormattedCitation":"7","previouslyFormattedCitation":"&lt;sup&gt;5&lt;/sup&gt;"},"properties":{"noteIndex":0},"schema":"https://github.com/citation-style-language/schema/raw/master/csl-citation.json"}</w:instrText>
      </w:r>
      <w:r>
        <w:rPr>
          <w:sz w:val="20"/>
          <w:szCs w:val="20"/>
          <w:lang w:bidi="en-US"/>
        </w:rPr>
        <w:fldChar w:fldCharType="separate"/>
      </w:r>
      <w:r w:rsidR="00DA1785" w:rsidRPr="00DA1785">
        <w:rPr>
          <w:noProof/>
          <w:sz w:val="20"/>
          <w:szCs w:val="20"/>
          <w:vertAlign w:val="superscript"/>
          <w:lang w:bidi="en-US"/>
        </w:rPr>
        <w:t>7</w:t>
      </w:r>
      <w:r>
        <w:rPr>
          <w:sz w:val="20"/>
          <w:szCs w:val="20"/>
          <w:lang w:bidi="en-US"/>
        </w:rPr>
        <w:fldChar w:fldCharType="end"/>
      </w:r>
      <w:r w:rsidR="000E783D">
        <w:rPr>
          <w:sz w:val="20"/>
          <w:szCs w:val="20"/>
          <w:lang w:bidi="en-US"/>
        </w:rPr>
        <w:t xml:space="preserve">. </w:t>
      </w:r>
      <w:r w:rsidR="00FC639D">
        <w:rPr>
          <w:sz w:val="20"/>
          <w:szCs w:val="20"/>
          <w:lang w:bidi="en-US"/>
        </w:rPr>
        <w:t>This</w:t>
      </w:r>
      <w:r w:rsidRPr="00997F28">
        <w:rPr>
          <w:sz w:val="20"/>
          <w:szCs w:val="20"/>
          <w:lang w:bidi="en-US"/>
        </w:rPr>
        <w:t xml:space="preserve"> was </w:t>
      </w:r>
      <w:r w:rsidR="000E783D">
        <w:rPr>
          <w:sz w:val="20"/>
          <w:szCs w:val="20"/>
          <w:lang w:bidi="en-US"/>
        </w:rPr>
        <w:t>confirmed</w:t>
      </w:r>
      <w:r w:rsidRPr="00997F28">
        <w:rPr>
          <w:sz w:val="20"/>
          <w:szCs w:val="20"/>
          <w:lang w:bidi="en-US"/>
        </w:rPr>
        <w:t xml:space="preserve"> </w:t>
      </w:r>
      <w:r w:rsidR="000E783D">
        <w:rPr>
          <w:sz w:val="20"/>
          <w:szCs w:val="20"/>
          <w:lang w:bidi="en-US"/>
        </w:rPr>
        <w:t>by</w:t>
      </w:r>
      <w:r>
        <w:rPr>
          <w:sz w:val="20"/>
          <w:szCs w:val="20"/>
          <w:lang w:bidi="en-US"/>
        </w:rPr>
        <w:t xml:space="preserve"> </w:t>
      </w:r>
      <w:r w:rsidR="00FC639D">
        <w:rPr>
          <w:sz w:val="20"/>
          <w:szCs w:val="20"/>
          <w:lang w:bidi="en-US"/>
        </w:rPr>
        <w:t>observing</w:t>
      </w:r>
      <w:r>
        <w:rPr>
          <w:sz w:val="20"/>
          <w:szCs w:val="20"/>
          <w:lang w:bidi="en-US"/>
        </w:rPr>
        <w:t xml:space="preserve"> that</w:t>
      </w:r>
      <w:r w:rsidRPr="0071300F">
        <w:rPr>
          <w:rFonts w:ascii="Symbol" w:hAnsi="Symbol"/>
          <w:i/>
          <w:sz w:val="20"/>
          <w:szCs w:val="20"/>
          <w:lang w:bidi="en-US"/>
        </w:rPr>
        <w:t></w:t>
      </w:r>
      <w:r w:rsidRPr="0071300F">
        <w:rPr>
          <w:rFonts w:ascii="Symbol" w:hAnsi="Symbol"/>
          <w:i/>
          <w:sz w:val="20"/>
          <w:szCs w:val="20"/>
          <w:lang w:bidi="en-US"/>
        </w:rPr>
        <w:t></w:t>
      </w:r>
      <w:r w:rsidRPr="0071300F">
        <w:rPr>
          <w:sz w:val="20"/>
          <w:szCs w:val="20"/>
          <w:vertAlign w:val="subscript"/>
          <w:lang w:bidi="en-US"/>
        </w:rPr>
        <w:t>o</w:t>
      </w:r>
      <w:r>
        <w:rPr>
          <w:sz w:val="20"/>
          <w:szCs w:val="20"/>
          <w:lang w:bidi="en-US"/>
        </w:rPr>
        <w:t xml:space="preserve"> obtained from the singular matrix </w:t>
      </w:r>
      <w:r w:rsidRPr="00997F28">
        <w:rPr>
          <w:b/>
          <w:sz w:val="20"/>
          <w:szCs w:val="20"/>
          <w:lang w:bidi="en-US"/>
        </w:rPr>
        <w:t>A</w:t>
      </w:r>
      <w:r>
        <w:rPr>
          <w:sz w:val="20"/>
          <w:szCs w:val="20"/>
          <w:lang w:bidi="en-US"/>
        </w:rPr>
        <w:t xml:space="preserve"> was nonzero unless rebalancing was performed. The problem d</w:t>
      </w:r>
      <w:r w:rsidR="00116270">
        <w:rPr>
          <w:sz w:val="20"/>
          <w:szCs w:val="20"/>
          <w:lang w:bidi="en-US"/>
        </w:rPr>
        <w:t>id not extend to 1D eigenvalues because circulatory flow is impossible in 1D, and therefore</w:t>
      </w:r>
      <w:r>
        <w:rPr>
          <w:sz w:val="20"/>
          <w:szCs w:val="20"/>
          <w:lang w:bidi="en-US"/>
        </w:rPr>
        <w:t xml:space="preserve"> detailed balance</w:t>
      </w:r>
      <w:r w:rsidR="00116270">
        <w:rPr>
          <w:sz w:val="20"/>
          <w:szCs w:val="20"/>
          <w:lang w:bidi="en-US"/>
        </w:rPr>
        <w:t xml:space="preserve"> is automatically satisfied</w:t>
      </w:r>
      <w:r>
        <w:rPr>
          <w:sz w:val="20"/>
          <w:szCs w:val="20"/>
          <w:lang w:bidi="en-US"/>
        </w:rPr>
        <w:t>. In summary, rate rebalancing was crucial for computing 2D eigenvalues but did not significantly affect other calculations, which, independent of rebalancing</w:t>
      </w:r>
      <w:r w:rsidR="00262FB9">
        <w:rPr>
          <w:sz w:val="20"/>
          <w:szCs w:val="20"/>
          <w:lang w:bidi="en-US"/>
        </w:rPr>
        <w:t>,</w:t>
      </w:r>
      <w:r w:rsidR="00116270">
        <w:rPr>
          <w:sz w:val="20"/>
          <w:szCs w:val="20"/>
          <w:lang w:bidi="en-US"/>
        </w:rPr>
        <w:t xml:space="preserve"> yielded </w:t>
      </w:r>
      <w:r w:rsidR="00FC639D">
        <w:rPr>
          <w:sz w:val="20"/>
          <w:szCs w:val="20"/>
          <w:lang w:bidi="en-US"/>
        </w:rPr>
        <w:t>consistent</w:t>
      </w:r>
      <w:r w:rsidR="00116270">
        <w:rPr>
          <w:sz w:val="20"/>
          <w:szCs w:val="20"/>
          <w:lang w:bidi="en-US"/>
        </w:rPr>
        <w:t xml:space="preserve"> outcomes</w:t>
      </w:r>
      <w:r>
        <w:rPr>
          <w:sz w:val="20"/>
          <w:szCs w:val="20"/>
          <w:lang w:bidi="en-US"/>
        </w:rPr>
        <w:t>.</w:t>
      </w:r>
    </w:p>
    <w:p w:rsidR="0069424B" w:rsidRPr="008B1D5F" w:rsidRDefault="0069424B" w:rsidP="0069424B">
      <w:pPr>
        <w:pStyle w:val="NormalWeb"/>
        <w:numPr>
          <w:ilvl w:val="0"/>
          <w:numId w:val="1"/>
        </w:numPr>
        <w:shd w:val="clear" w:color="auto" w:fill="FFFFFF"/>
        <w:spacing w:after="120" w:line="480" w:lineRule="auto"/>
        <w:jc w:val="both"/>
        <w:rPr>
          <w:b/>
          <w:sz w:val="20"/>
          <w:szCs w:val="20"/>
          <w:lang w:bidi="en-US"/>
        </w:rPr>
      </w:pPr>
      <w:r>
        <w:rPr>
          <w:b/>
          <w:sz w:val="20"/>
          <w:szCs w:val="20"/>
          <w:lang w:bidi="en-US"/>
        </w:rPr>
        <w:t>NUMERICAL STRATEGY FOR COMPUTING</w:t>
      </w:r>
      <w:r w:rsidRPr="008B1D5F">
        <w:rPr>
          <w:b/>
          <w:sz w:val="20"/>
          <w:szCs w:val="20"/>
          <w:lang w:bidi="en-US"/>
        </w:rPr>
        <w:t xml:space="preserve"> </w:t>
      </w:r>
      <w:r w:rsidRPr="008B1D5F">
        <w:rPr>
          <w:b/>
          <w:i/>
          <w:sz w:val="20"/>
          <w:szCs w:val="20"/>
          <w:lang w:bidi="en-US"/>
        </w:rPr>
        <w:t>k</w:t>
      </w:r>
      <w:r>
        <w:rPr>
          <w:b/>
          <w:sz w:val="20"/>
          <w:szCs w:val="20"/>
          <w:lang w:bidi="en-US"/>
        </w:rPr>
        <w:t>(</w:t>
      </w:r>
      <w:r w:rsidR="002867AD" w:rsidRPr="0099080F">
        <w:rPr>
          <w:rFonts w:ascii="Symbol" w:hAnsi="Symbol"/>
          <w:b/>
          <w:sz w:val="20"/>
          <w:szCs w:val="20"/>
          <w:lang w:bidi="en-US"/>
        </w:rPr>
        <w:t></w:t>
      </w:r>
      <w:r w:rsidR="002867AD">
        <w:rPr>
          <w:b/>
          <w:sz w:val="20"/>
          <w:szCs w:val="20"/>
          <w:lang w:bidi="en-US"/>
        </w:rPr>
        <w:t xml:space="preserve">, </w:t>
      </w:r>
      <w:r w:rsidRPr="0099080F">
        <w:rPr>
          <w:b/>
          <w:i/>
          <w:sz w:val="20"/>
          <w:szCs w:val="20"/>
          <w:lang w:bidi="en-US"/>
        </w:rPr>
        <w:t>T</w:t>
      </w:r>
      <w:r>
        <w:rPr>
          <w:b/>
          <w:sz w:val="20"/>
          <w:szCs w:val="20"/>
          <w:lang w:bidi="en-US"/>
        </w:rPr>
        <w:t>)</w:t>
      </w:r>
    </w:p>
    <w:p w:rsidR="00434693" w:rsidRDefault="00434693" w:rsidP="0069424B">
      <w:pPr>
        <w:pStyle w:val="NormalWeb"/>
        <w:shd w:val="clear" w:color="auto" w:fill="FFFFFF"/>
        <w:spacing w:after="120" w:line="480" w:lineRule="auto"/>
        <w:ind w:firstLine="567"/>
        <w:jc w:val="both"/>
        <w:rPr>
          <w:sz w:val="20"/>
          <w:szCs w:val="20"/>
          <w:lang w:bidi="en-US"/>
        </w:rPr>
      </w:pPr>
      <w:r>
        <w:rPr>
          <w:sz w:val="20"/>
          <w:szCs w:val="20"/>
          <w:lang w:bidi="en-US"/>
        </w:rPr>
        <w:t>A</w:t>
      </w:r>
      <w:r w:rsidR="0069424B">
        <w:rPr>
          <w:sz w:val="20"/>
          <w:szCs w:val="20"/>
          <w:lang w:bidi="en-US"/>
        </w:rPr>
        <w:t xml:space="preserve"> proposed strategy for computing </w:t>
      </w:r>
      <w:r w:rsidR="0069424B" w:rsidRPr="0099080F">
        <w:rPr>
          <w:i/>
          <w:sz w:val="20"/>
          <w:szCs w:val="20"/>
          <w:lang w:bidi="en-US"/>
        </w:rPr>
        <w:t>k</w:t>
      </w:r>
      <w:r w:rsidR="0069424B">
        <w:rPr>
          <w:sz w:val="20"/>
          <w:szCs w:val="20"/>
          <w:lang w:bidi="en-US"/>
        </w:rPr>
        <w:t xml:space="preserve"> as a function of </w:t>
      </w:r>
      <w:r w:rsidR="002867AD" w:rsidRPr="0099080F">
        <w:rPr>
          <w:rFonts w:ascii="Symbol" w:hAnsi="Symbol"/>
          <w:sz w:val="20"/>
          <w:szCs w:val="20"/>
          <w:lang w:bidi="en-US"/>
        </w:rPr>
        <w:t></w:t>
      </w:r>
      <w:r w:rsidR="002867AD">
        <w:rPr>
          <w:sz w:val="20"/>
          <w:szCs w:val="20"/>
          <w:lang w:bidi="en-US"/>
        </w:rPr>
        <w:t xml:space="preserve"> </w:t>
      </w:r>
      <w:r w:rsidR="0069424B">
        <w:rPr>
          <w:sz w:val="20"/>
          <w:szCs w:val="20"/>
          <w:lang w:bidi="en-US"/>
        </w:rPr>
        <w:t xml:space="preserve">and </w:t>
      </w:r>
      <w:r w:rsidR="002867AD" w:rsidRPr="0099080F">
        <w:rPr>
          <w:i/>
          <w:sz w:val="20"/>
          <w:szCs w:val="20"/>
          <w:lang w:bidi="en-US"/>
        </w:rPr>
        <w:t>T</w:t>
      </w:r>
      <w:r w:rsidR="002867AD">
        <w:rPr>
          <w:sz w:val="20"/>
          <w:szCs w:val="20"/>
          <w:lang w:bidi="en-US"/>
        </w:rPr>
        <w:t xml:space="preserve"> </w:t>
      </w:r>
      <w:r w:rsidR="0069424B">
        <w:rPr>
          <w:sz w:val="20"/>
          <w:szCs w:val="20"/>
          <w:lang w:bidi="en-US"/>
        </w:rPr>
        <w:t>is summarized by Eq. 3</w:t>
      </w:r>
      <w:r>
        <w:rPr>
          <w:sz w:val="20"/>
          <w:szCs w:val="20"/>
          <w:lang w:bidi="en-US"/>
        </w:rPr>
        <w:t>3 in the main text, reproduced below</w:t>
      </w:r>
      <w:r w:rsidR="0069424B">
        <w:rPr>
          <w:sz w:val="20"/>
          <w:szCs w:val="20"/>
          <w:lang w:bidi="en-US"/>
        </w:rPr>
        <w:t xml:space="preserve">. </w:t>
      </w:r>
    </w:p>
    <w:p w:rsidR="00434693" w:rsidRDefault="00434693" w:rsidP="00434693">
      <w:pPr>
        <w:pStyle w:val="NormalWeb"/>
        <w:shd w:val="clear" w:color="auto" w:fill="FFFFFF"/>
        <w:spacing w:after="120" w:line="480" w:lineRule="auto"/>
        <w:jc w:val="both"/>
        <w:rPr>
          <w:sz w:val="20"/>
          <w:szCs w:val="20"/>
          <w:lang w:bidi="en-US"/>
        </w:rPr>
      </w:pPr>
      <w:r>
        <w:rPr>
          <w:sz w:val="20"/>
          <w:szCs w:val="20"/>
          <w:lang w:bidi="en-US"/>
        </w:rPr>
        <w:tab/>
      </w:r>
      <w:r w:rsidRPr="009C59F8">
        <w:rPr>
          <w:position w:val="-26"/>
          <w:sz w:val="20"/>
          <w:szCs w:val="20"/>
        </w:rPr>
        <w:object w:dxaOrig="859" w:dyaOrig="600">
          <v:shape id="_x0000_i1027" type="#_x0000_t75" style="width:43.8pt;height:30.55pt" o:ole="">
            <v:imagedata r:id="rId11" o:title=""/>
          </v:shape>
          <o:OLEObject Type="Embed" ProgID="Equation.DSMT4" ShapeID="_x0000_i1027" DrawAspect="Content" ObjectID="_1641181535" r:id="rId12"/>
        </w:object>
      </w:r>
      <w:r>
        <w:rPr>
          <w:sz w:val="20"/>
          <w:szCs w:val="20"/>
        </w:rPr>
        <w:t>.</w:t>
      </w:r>
    </w:p>
    <w:p w:rsidR="0069424B" w:rsidRDefault="0069424B" w:rsidP="00434693">
      <w:pPr>
        <w:pStyle w:val="NormalWeb"/>
        <w:shd w:val="clear" w:color="auto" w:fill="FFFFFF"/>
        <w:spacing w:after="120" w:line="480" w:lineRule="auto"/>
        <w:ind w:firstLine="567"/>
        <w:jc w:val="both"/>
        <w:rPr>
          <w:sz w:val="20"/>
          <w:szCs w:val="20"/>
          <w:lang w:bidi="en-US"/>
        </w:rPr>
      </w:pPr>
      <w:r>
        <w:rPr>
          <w:sz w:val="20"/>
          <w:szCs w:val="20"/>
          <w:lang w:bidi="en-US"/>
        </w:rPr>
        <w:t>The full Ising dynamics is coarse-grained onto the microcanonical space (</w:t>
      </w:r>
      <w:r w:rsidR="004565DF">
        <w:rPr>
          <w:i/>
          <w:sz w:val="20"/>
          <w:szCs w:val="20"/>
          <w:lang w:bidi="en-US"/>
        </w:rPr>
        <w:t>q</w:t>
      </w:r>
      <w:r>
        <w:rPr>
          <w:sz w:val="20"/>
          <w:szCs w:val="20"/>
          <w:lang w:bidi="en-US"/>
        </w:rPr>
        <w:t xml:space="preserve">, </w:t>
      </w:r>
      <w:r w:rsidR="004565DF">
        <w:rPr>
          <w:i/>
          <w:sz w:val="20"/>
          <w:szCs w:val="20"/>
          <w:lang w:bidi="en-US"/>
        </w:rPr>
        <w:t>E</w:t>
      </w:r>
      <w:r>
        <w:rPr>
          <w:sz w:val="20"/>
          <w:szCs w:val="20"/>
          <w:lang w:bidi="en-US"/>
        </w:rPr>
        <w:t>) through Metropolis Monte Carlo sampling</w:t>
      </w:r>
      <w:r w:rsidR="00FC0A96">
        <w:rPr>
          <w:sz w:val="20"/>
          <w:szCs w:val="20"/>
          <w:lang w:bidi="en-US"/>
        </w:rPr>
        <w:t xml:space="preserve"> as described in the main text</w:t>
      </w:r>
      <w:r>
        <w:rPr>
          <w:sz w:val="20"/>
          <w:szCs w:val="20"/>
          <w:lang w:bidi="en-US"/>
        </w:rPr>
        <w:t xml:space="preserve">. From there, </w:t>
      </w:r>
      <w:r w:rsidRPr="00C43823">
        <w:rPr>
          <w:i/>
          <w:sz w:val="20"/>
          <w:szCs w:val="20"/>
          <w:lang w:bidi="en-US"/>
        </w:rPr>
        <w:t>D</w:t>
      </w:r>
      <w:r w:rsidRPr="00C43823">
        <w:rPr>
          <w:i/>
          <w:sz w:val="20"/>
          <w:szCs w:val="20"/>
          <w:vertAlign w:val="subscript"/>
          <w:lang w:bidi="en-US"/>
        </w:rPr>
        <w:t>b</w:t>
      </w:r>
      <w:r>
        <w:rPr>
          <w:sz w:val="20"/>
          <w:szCs w:val="20"/>
          <w:lang w:bidi="en-US"/>
        </w:rPr>
        <w:t xml:space="preserve">, </w:t>
      </w:r>
      <w:r w:rsidRPr="00A87660">
        <w:rPr>
          <w:i/>
          <w:sz w:val="20"/>
          <w:szCs w:val="20"/>
          <w:lang w:bidi="en-US"/>
        </w:rPr>
        <w:t>Z</w:t>
      </w:r>
      <w:r>
        <w:rPr>
          <w:i/>
          <w:sz w:val="20"/>
          <w:szCs w:val="20"/>
          <w:vertAlign w:val="subscript"/>
          <w:lang w:bidi="en-US"/>
        </w:rPr>
        <w:t>R</w:t>
      </w:r>
      <w:r w:rsidRPr="00471236">
        <w:rPr>
          <w:sz w:val="20"/>
          <w:szCs w:val="20"/>
          <w:vertAlign w:val="superscript"/>
          <w:lang w:bidi="en-US"/>
        </w:rPr>
        <w:t>-1</w:t>
      </w:r>
      <w:r>
        <w:rPr>
          <w:sz w:val="20"/>
          <w:szCs w:val="20"/>
          <w:lang w:bidi="en-US"/>
        </w:rPr>
        <w:t xml:space="preserve"> and </w:t>
      </w:r>
      <w:r w:rsidRPr="00A87660">
        <w:rPr>
          <w:i/>
          <w:sz w:val="20"/>
          <w:szCs w:val="20"/>
          <w:lang w:bidi="en-US"/>
        </w:rPr>
        <w:t>Z</w:t>
      </w:r>
      <w:r w:rsidRPr="00A87660">
        <w:rPr>
          <w:i/>
          <w:sz w:val="20"/>
          <w:szCs w:val="20"/>
          <w:vertAlign w:val="subscript"/>
          <w:lang w:bidi="en-US"/>
        </w:rPr>
        <w:t>b</w:t>
      </w:r>
      <w:r w:rsidRPr="00471236">
        <w:rPr>
          <w:sz w:val="20"/>
          <w:szCs w:val="20"/>
          <w:vertAlign w:val="superscript"/>
          <w:lang w:bidi="en-US"/>
        </w:rPr>
        <w:t>-1</w:t>
      </w:r>
      <w:r>
        <w:rPr>
          <w:sz w:val="20"/>
          <w:szCs w:val="20"/>
          <w:lang w:bidi="en-US"/>
        </w:rPr>
        <w:t xml:space="preserve"> are computed in the (</w:t>
      </w:r>
      <w:r w:rsidR="004565DF" w:rsidRPr="0099080F">
        <w:rPr>
          <w:rFonts w:ascii="Symbol" w:hAnsi="Symbol"/>
          <w:sz w:val="20"/>
          <w:szCs w:val="20"/>
          <w:lang w:bidi="en-US"/>
        </w:rPr>
        <w:t></w:t>
      </w:r>
      <w:r w:rsidR="004565DF">
        <w:rPr>
          <w:i/>
          <w:sz w:val="20"/>
          <w:szCs w:val="20"/>
          <w:lang w:bidi="en-US"/>
        </w:rPr>
        <w:t>,</w:t>
      </w:r>
      <w:r w:rsidR="004565DF">
        <w:rPr>
          <w:sz w:val="20"/>
          <w:szCs w:val="20"/>
          <w:lang w:bidi="en-US"/>
        </w:rPr>
        <w:t xml:space="preserve"> </w:t>
      </w:r>
      <w:r w:rsidRPr="0099080F">
        <w:rPr>
          <w:i/>
          <w:sz w:val="20"/>
          <w:szCs w:val="20"/>
          <w:lang w:bidi="en-US"/>
        </w:rPr>
        <w:t>T</w:t>
      </w:r>
      <w:r>
        <w:rPr>
          <w:rFonts w:ascii="Symbol" w:hAnsi="Symbol"/>
          <w:sz w:val="20"/>
          <w:szCs w:val="20"/>
          <w:lang w:bidi="en-US"/>
        </w:rPr>
        <w:t></w:t>
      </w:r>
      <w:r>
        <w:rPr>
          <w:sz w:val="20"/>
          <w:szCs w:val="20"/>
          <w:lang w:bidi="en-US"/>
        </w:rPr>
        <w:t xml:space="preserve"> ensemble. To compensate for coarse-graining error </w:t>
      </w:r>
      <w:r w:rsidRPr="0099080F">
        <w:rPr>
          <w:rFonts w:ascii="Symbol" w:hAnsi="Symbol"/>
          <w:i/>
          <w:sz w:val="20"/>
          <w:szCs w:val="20"/>
          <w:lang w:bidi="en-US"/>
        </w:rPr>
        <w:t></w:t>
      </w:r>
      <w:r>
        <w:rPr>
          <w:sz w:val="20"/>
          <w:szCs w:val="20"/>
          <w:lang w:bidi="en-US"/>
        </w:rPr>
        <w:t xml:space="preserve">, one finds the slowest (reactive) spectral component </w:t>
      </w:r>
      <w:r w:rsidRPr="0003555D">
        <w:rPr>
          <w:i/>
          <w:sz w:val="20"/>
          <w:szCs w:val="20"/>
          <w:lang w:bidi="en-US"/>
        </w:rPr>
        <w:t>D</w:t>
      </w:r>
      <w:r w:rsidRPr="0003555D">
        <w:rPr>
          <w:sz w:val="20"/>
          <w:szCs w:val="20"/>
          <w:vertAlign w:val="subscript"/>
          <w:lang w:bidi="en-US"/>
        </w:rPr>
        <w:t>1</w:t>
      </w:r>
      <w:r>
        <w:rPr>
          <w:sz w:val="20"/>
          <w:szCs w:val="20"/>
          <w:lang w:bidi="en-US"/>
        </w:rPr>
        <w:t xml:space="preserve"> of the barrier diffusion coefficient, from which the association </w:t>
      </w:r>
      <w:r w:rsidRPr="00EE3DCD">
        <w:rPr>
          <w:i/>
          <w:sz w:val="20"/>
          <w:szCs w:val="20"/>
        </w:rPr>
        <w:t>D</w:t>
      </w:r>
      <w:r w:rsidRPr="00EE3DCD">
        <w:rPr>
          <w:sz w:val="20"/>
          <w:szCs w:val="20"/>
          <w:vertAlign w:val="subscript"/>
        </w:rPr>
        <w:t>1</w:t>
      </w:r>
      <w:r>
        <w:rPr>
          <w:sz w:val="20"/>
          <w:szCs w:val="20"/>
        </w:rPr>
        <w:t>/</w:t>
      </w:r>
      <w:r w:rsidRPr="00EE3DCD">
        <w:rPr>
          <w:i/>
          <w:sz w:val="20"/>
          <w:szCs w:val="20"/>
        </w:rPr>
        <w:t>D</w:t>
      </w:r>
      <w:r w:rsidRPr="00EE3DCD">
        <w:rPr>
          <w:i/>
          <w:sz w:val="20"/>
          <w:szCs w:val="20"/>
          <w:vertAlign w:val="subscript"/>
        </w:rPr>
        <w:t>b</w:t>
      </w:r>
      <w:r>
        <w:rPr>
          <w:sz w:val="20"/>
          <w:szCs w:val="20"/>
        </w:rPr>
        <w:t xml:space="preserve"> </w:t>
      </w:r>
      <w:r>
        <w:rPr>
          <w:sz w:val="20"/>
          <w:szCs w:val="20"/>
        </w:rPr>
        <w:sym w:font="Symbol" w:char="F0BB"/>
      </w:r>
      <w:r>
        <w:rPr>
          <w:sz w:val="20"/>
          <w:szCs w:val="20"/>
        </w:rPr>
        <w:t xml:space="preserve"> </w:t>
      </w:r>
      <w:r w:rsidRPr="0099080F">
        <w:rPr>
          <w:rFonts w:ascii="Symbol" w:hAnsi="Symbol"/>
          <w:i/>
          <w:sz w:val="20"/>
          <w:szCs w:val="20"/>
          <w:lang w:bidi="en-US"/>
        </w:rPr>
        <w:t></w:t>
      </w:r>
      <w:r>
        <w:rPr>
          <w:sz w:val="20"/>
          <w:szCs w:val="20"/>
        </w:rPr>
        <w:t xml:space="preserve"> is made. </w:t>
      </w:r>
      <w:r>
        <w:rPr>
          <w:sz w:val="20"/>
          <w:szCs w:val="20"/>
          <w:lang w:bidi="en-US"/>
        </w:rPr>
        <w:t>The last equation is empirical, but makes intuitive sense and gives numerically correct answers for small barriers</w:t>
      </w:r>
      <w:r w:rsidR="00434693">
        <w:rPr>
          <w:sz w:val="20"/>
          <w:szCs w:val="20"/>
          <w:lang w:bidi="en-US"/>
        </w:rPr>
        <w:t xml:space="preserve"> </w:t>
      </w:r>
      <w:r w:rsidR="00FC0A96">
        <w:rPr>
          <w:sz w:val="20"/>
          <w:szCs w:val="20"/>
          <w:lang w:bidi="en-US"/>
        </w:rPr>
        <w:t>in</w:t>
      </w:r>
      <w:r w:rsidR="00434693">
        <w:rPr>
          <w:sz w:val="20"/>
          <w:szCs w:val="20"/>
          <w:lang w:bidi="en-US"/>
        </w:rPr>
        <w:t xml:space="preserve"> two- and three-dimensional Ising </w:t>
      </w:r>
      <w:r w:rsidR="008312C6">
        <w:rPr>
          <w:sz w:val="20"/>
          <w:szCs w:val="20"/>
          <w:lang w:bidi="en-US"/>
        </w:rPr>
        <w:t>lattices</w:t>
      </w:r>
      <w:r>
        <w:rPr>
          <w:sz w:val="20"/>
          <w:szCs w:val="20"/>
          <w:lang w:bidi="en-US"/>
        </w:rPr>
        <w:t xml:space="preserve">. </w:t>
      </w:r>
      <w:r w:rsidR="008312C6">
        <w:rPr>
          <w:sz w:val="20"/>
          <w:szCs w:val="20"/>
          <w:lang w:bidi="en-US"/>
        </w:rPr>
        <w:t>The</w:t>
      </w:r>
      <w:r w:rsidR="00434693" w:rsidRPr="00434693">
        <w:rPr>
          <w:i/>
          <w:sz w:val="20"/>
          <w:szCs w:val="20"/>
          <w:lang w:bidi="en-US"/>
        </w:rPr>
        <w:t xml:space="preserve"> </w:t>
      </w:r>
      <w:r w:rsidR="00434693" w:rsidRPr="00A87660">
        <w:rPr>
          <w:i/>
          <w:sz w:val="20"/>
          <w:szCs w:val="20"/>
          <w:lang w:bidi="en-US"/>
        </w:rPr>
        <w:t>Z</w:t>
      </w:r>
      <w:r w:rsidR="00434693">
        <w:rPr>
          <w:i/>
          <w:sz w:val="20"/>
          <w:szCs w:val="20"/>
          <w:vertAlign w:val="subscript"/>
          <w:lang w:bidi="en-US"/>
        </w:rPr>
        <w:t>R</w:t>
      </w:r>
      <w:r w:rsidR="00434693">
        <w:rPr>
          <w:sz w:val="20"/>
          <w:szCs w:val="20"/>
          <w:lang w:bidi="en-US"/>
        </w:rPr>
        <w:t xml:space="preserve"> and </w:t>
      </w:r>
      <w:proofErr w:type="spellStart"/>
      <w:r w:rsidR="00434693" w:rsidRPr="00A87660">
        <w:rPr>
          <w:i/>
          <w:sz w:val="20"/>
          <w:szCs w:val="20"/>
          <w:lang w:bidi="en-US"/>
        </w:rPr>
        <w:t>Z</w:t>
      </w:r>
      <w:r w:rsidR="00434693" w:rsidRPr="00A87660">
        <w:rPr>
          <w:i/>
          <w:sz w:val="20"/>
          <w:szCs w:val="20"/>
          <w:vertAlign w:val="subscript"/>
          <w:lang w:bidi="en-US"/>
        </w:rPr>
        <w:t>b</w:t>
      </w:r>
      <w:proofErr w:type="spellEnd"/>
      <w:r w:rsidR="00434693">
        <w:rPr>
          <w:sz w:val="20"/>
          <w:szCs w:val="20"/>
          <w:lang w:bidi="en-US"/>
        </w:rPr>
        <w:t xml:space="preserve"> </w:t>
      </w:r>
      <w:r>
        <w:rPr>
          <w:sz w:val="20"/>
          <w:szCs w:val="20"/>
          <w:lang w:bidi="en-US"/>
        </w:rPr>
        <w:t xml:space="preserve">are local partition functions that sum over individual basin and barrier regions. Their product can be rewritten as </w:t>
      </w:r>
      <w:proofErr w:type="spellStart"/>
      <w:proofErr w:type="gramStart"/>
      <w:r>
        <w:rPr>
          <w:sz w:val="20"/>
          <w:szCs w:val="20"/>
          <w:lang w:bidi="en-US"/>
        </w:rPr>
        <w:t>exp</w:t>
      </w:r>
      <w:proofErr w:type="spellEnd"/>
      <w:r>
        <w:rPr>
          <w:sz w:val="20"/>
          <w:szCs w:val="20"/>
          <w:lang w:bidi="en-US"/>
        </w:rPr>
        <w:t>(</w:t>
      </w:r>
      <w:proofErr w:type="gramEnd"/>
      <w:r w:rsidRPr="00BA210B">
        <w:rPr>
          <w:rFonts w:ascii="Symbol" w:hAnsi="Symbol"/>
          <w:sz w:val="20"/>
          <w:szCs w:val="20"/>
          <w:lang w:bidi="en-US"/>
        </w:rPr>
        <w:t></w:t>
      </w:r>
      <w:r w:rsidRPr="00BA210B">
        <w:rPr>
          <w:i/>
          <w:sz w:val="20"/>
          <w:szCs w:val="20"/>
          <w:lang w:bidi="en-US"/>
        </w:rPr>
        <w:t>W</w:t>
      </w:r>
      <w:r w:rsidRPr="006A5333">
        <w:rPr>
          <w:rFonts w:ascii="Calibri" w:hAnsi="Calibri"/>
          <w:sz w:val="20"/>
          <w:szCs w:val="20"/>
          <w:vertAlign w:val="superscript"/>
          <w:lang w:bidi="en-US"/>
        </w:rPr>
        <w:t>‡</w:t>
      </w:r>
      <w:r>
        <w:rPr>
          <w:sz w:val="20"/>
          <w:szCs w:val="20"/>
          <w:lang w:bidi="en-US"/>
        </w:rPr>
        <w:t>/</w:t>
      </w:r>
      <w:proofErr w:type="spellStart"/>
      <w:r w:rsidRPr="00BA210B">
        <w:rPr>
          <w:i/>
          <w:sz w:val="20"/>
          <w:szCs w:val="20"/>
          <w:lang w:bidi="en-US"/>
        </w:rPr>
        <w:t>kT</w:t>
      </w:r>
      <w:proofErr w:type="spellEnd"/>
      <w:r>
        <w:rPr>
          <w:sz w:val="20"/>
          <w:szCs w:val="20"/>
          <w:lang w:bidi="en-US"/>
        </w:rPr>
        <w:t>), where the activation free energy</w:t>
      </w:r>
      <w:r w:rsidRPr="00BA210B">
        <w:rPr>
          <w:rFonts w:ascii="Symbol" w:hAnsi="Symbol"/>
          <w:sz w:val="20"/>
          <w:szCs w:val="20"/>
          <w:lang w:bidi="en-US"/>
        </w:rPr>
        <w:t></w:t>
      </w:r>
      <w:r w:rsidRPr="00BA210B">
        <w:rPr>
          <w:rFonts w:ascii="Symbol" w:hAnsi="Symbol"/>
          <w:sz w:val="20"/>
          <w:szCs w:val="20"/>
          <w:lang w:bidi="en-US"/>
        </w:rPr>
        <w:t></w:t>
      </w:r>
      <w:r w:rsidRPr="00BA210B">
        <w:rPr>
          <w:i/>
          <w:sz w:val="20"/>
          <w:szCs w:val="20"/>
          <w:lang w:bidi="en-US"/>
        </w:rPr>
        <w:t>W</w:t>
      </w:r>
      <w:r w:rsidRPr="006A5333">
        <w:rPr>
          <w:rFonts w:ascii="Calibri" w:hAnsi="Calibri"/>
          <w:sz w:val="20"/>
          <w:szCs w:val="20"/>
          <w:vertAlign w:val="superscript"/>
          <w:lang w:bidi="en-US"/>
        </w:rPr>
        <w:t>‡</w:t>
      </w:r>
      <w:r>
        <w:rPr>
          <w:sz w:val="20"/>
          <w:szCs w:val="20"/>
          <w:lang w:bidi="en-US"/>
        </w:rPr>
        <w:t xml:space="preserve"> = </w:t>
      </w:r>
      <w:proofErr w:type="spellStart"/>
      <w:r w:rsidRPr="00BA210B">
        <w:rPr>
          <w:i/>
          <w:sz w:val="20"/>
          <w:szCs w:val="20"/>
          <w:lang w:bidi="en-US"/>
        </w:rPr>
        <w:t>W</w:t>
      </w:r>
      <w:r w:rsidRPr="00BA210B">
        <w:rPr>
          <w:i/>
          <w:sz w:val="20"/>
          <w:szCs w:val="20"/>
          <w:vertAlign w:val="subscript"/>
          <w:lang w:bidi="en-US"/>
        </w:rPr>
        <w:t>b</w:t>
      </w:r>
      <w:proofErr w:type="spellEnd"/>
      <w:r>
        <w:rPr>
          <w:sz w:val="20"/>
          <w:szCs w:val="20"/>
          <w:lang w:bidi="en-US"/>
        </w:rPr>
        <w:t xml:space="preserve"> </w:t>
      </w:r>
      <w:r w:rsidRPr="00BA210B">
        <w:rPr>
          <w:rFonts w:ascii="Symbol" w:hAnsi="Symbol"/>
          <w:sz w:val="20"/>
          <w:szCs w:val="20"/>
          <w:lang w:bidi="en-US"/>
        </w:rPr>
        <w:t></w:t>
      </w:r>
      <w:r>
        <w:rPr>
          <w:sz w:val="20"/>
          <w:szCs w:val="20"/>
          <w:lang w:bidi="en-US"/>
        </w:rPr>
        <w:t xml:space="preserve"> </w:t>
      </w:r>
      <w:r w:rsidRPr="00BA210B">
        <w:rPr>
          <w:i/>
          <w:sz w:val="20"/>
          <w:szCs w:val="20"/>
          <w:lang w:bidi="en-US"/>
        </w:rPr>
        <w:t>W</w:t>
      </w:r>
      <w:r w:rsidRPr="00BA210B">
        <w:rPr>
          <w:i/>
          <w:sz w:val="20"/>
          <w:szCs w:val="20"/>
          <w:vertAlign w:val="subscript"/>
          <w:lang w:bidi="en-US"/>
        </w:rPr>
        <w:t>R</w:t>
      </w:r>
      <w:r>
        <w:rPr>
          <w:sz w:val="20"/>
          <w:szCs w:val="20"/>
          <w:lang w:bidi="en-US"/>
        </w:rPr>
        <w:t xml:space="preserve"> is the difference between the barrier free energy </w:t>
      </w:r>
      <w:r w:rsidRPr="00BA210B">
        <w:rPr>
          <w:i/>
          <w:sz w:val="20"/>
          <w:szCs w:val="20"/>
          <w:lang w:bidi="en-US"/>
        </w:rPr>
        <w:t>W</w:t>
      </w:r>
      <w:r>
        <w:rPr>
          <w:i/>
          <w:sz w:val="20"/>
          <w:szCs w:val="20"/>
          <w:vertAlign w:val="subscript"/>
          <w:lang w:bidi="en-US"/>
        </w:rPr>
        <w:t>R</w:t>
      </w:r>
      <w:r>
        <w:rPr>
          <w:sz w:val="20"/>
          <w:szCs w:val="20"/>
          <w:lang w:bidi="en-US"/>
        </w:rPr>
        <w:t xml:space="preserve"> = </w:t>
      </w:r>
      <w:r w:rsidRPr="00BA210B">
        <w:rPr>
          <w:rFonts w:ascii="Symbol" w:hAnsi="Symbol"/>
          <w:sz w:val="20"/>
          <w:szCs w:val="20"/>
          <w:lang w:bidi="en-US"/>
        </w:rPr>
        <w:t></w:t>
      </w:r>
      <w:proofErr w:type="spellStart"/>
      <w:r w:rsidRPr="00A87660">
        <w:rPr>
          <w:i/>
          <w:sz w:val="20"/>
          <w:szCs w:val="20"/>
          <w:lang w:bidi="en-US"/>
        </w:rPr>
        <w:t>kT</w:t>
      </w:r>
      <w:r>
        <w:rPr>
          <w:sz w:val="20"/>
          <w:szCs w:val="20"/>
          <w:lang w:bidi="en-US"/>
        </w:rPr>
        <w:t>ln</w:t>
      </w:r>
      <w:r w:rsidRPr="00A87660">
        <w:rPr>
          <w:i/>
          <w:sz w:val="20"/>
          <w:szCs w:val="20"/>
          <w:lang w:bidi="en-US"/>
        </w:rPr>
        <w:t>Z</w:t>
      </w:r>
      <w:r>
        <w:rPr>
          <w:i/>
          <w:sz w:val="20"/>
          <w:szCs w:val="20"/>
          <w:vertAlign w:val="subscript"/>
          <w:lang w:bidi="en-US"/>
        </w:rPr>
        <w:t>R</w:t>
      </w:r>
      <w:proofErr w:type="spellEnd"/>
      <w:r>
        <w:rPr>
          <w:sz w:val="20"/>
          <w:szCs w:val="20"/>
          <w:lang w:bidi="en-US"/>
        </w:rPr>
        <w:t xml:space="preserve"> and the reactant free energy </w:t>
      </w:r>
      <w:proofErr w:type="spellStart"/>
      <w:r w:rsidRPr="00BA210B">
        <w:rPr>
          <w:i/>
          <w:sz w:val="20"/>
          <w:szCs w:val="20"/>
          <w:lang w:bidi="en-US"/>
        </w:rPr>
        <w:t>W</w:t>
      </w:r>
      <w:r w:rsidRPr="00BA210B">
        <w:rPr>
          <w:i/>
          <w:sz w:val="20"/>
          <w:szCs w:val="20"/>
          <w:vertAlign w:val="subscript"/>
          <w:lang w:bidi="en-US"/>
        </w:rPr>
        <w:t>b</w:t>
      </w:r>
      <w:proofErr w:type="spellEnd"/>
      <w:r>
        <w:rPr>
          <w:sz w:val="20"/>
          <w:szCs w:val="20"/>
          <w:lang w:bidi="en-US"/>
        </w:rPr>
        <w:t xml:space="preserve"> = </w:t>
      </w:r>
      <w:proofErr w:type="spellStart"/>
      <w:r w:rsidRPr="00A87660">
        <w:rPr>
          <w:i/>
          <w:sz w:val="20"/>
          <w:szCs w:val="20"/>
          <w:lang w:bidi="en-US"/>
        </w:rPr>
        <w:t>kT</w:t>
      </w:r>
      <w:r>
        <w:rPr>
          <w:sz w:val="20"/>
          <w:szCs w:val="20"/>
          <w:lang w:bidi="en-US"/>
        </w:rPr>
        <w:t>ln</w:t>
      </w:r>
      <w:r w:rsidRPr="00A87660">
        <w:rPr>
          <w:i/>
          <w:sz w:val="20"/>
          <w:szCs w:val="20"/>
          <w:lang w:bidi="en-US"/>
        </w:rPr>
        <w:t>Z</w:t>
      </w:r>
      <w:r w:rsidRPr="00A87660">
        <w:rPr>
          <w:i/>
          <w:sz w:val="20"/>
          <w:szCs w:val="20"/>
          <w:vertAlign w:val="subscript"/>
          <w:lang w:bidi="en-US"/>
        </w:rPr>
        <w:t>b</w:t>
      </w:r>
      <w:proofErr w:type="spellEnd"/>
      <w:r>
        <w:rPr>
          <w:sz w:val="20"/>
          <w:szCs w:val="20"/>
          <w:lang w:bidi="en-US"/>
        </w:rPr>
        <w:t xml:space="preserve">. The activation free energy can be further broken down into its thermodynamic components: </w:t>
      </w:r>
      <w:r w:rsidRPr="00BA210B">
        <w:rPr>
          <w:rFonts w:ascii="Symbol" w:hAnsi="Symbol"/>
          <w:sz w:val="20"/>
          <w:szCs w:val="20"/>
          <w:lang w:bidi="en-US"/>
        </w:rPr>
        <w:t></w:t>
      </w:r>
      <w:r w:rsidRPr="00BA210B">
        <w:rPr>
          <w:i/>
          <w:sz w:val="20"/>
          <w:szCs w:val="20"/>
          <w:lang w:bidi="en-US"/>
        </w:rPr>
        <w:t>W</w:t>
      </w:r>
      <w:r w:rsidRPr="006A5333">
        <w:rPr>
          <w:rFonts w:ascii="Calibri" w:hAnsi="Calibri"/>
          <w:sz w:val="20"/>
          <w:szCs w:val="20"/>
          <w:vertAlign w:val="superscript"/>
          <w:lang w:bidi="en-US"/>
        </w:rPr>
        <w:t>‡</w:t>
      </w:r>
      <w:r>
        <w:rPr>
          <w:sz w:val="20"/>
          <w:szCs w:val="20"/>
          <w:lang w:bidi="en-US"/>
        </w:rPr>
        <w:t xml:space="preserve"> =</w:t>
      </w:r>
      <w:r w:rsidRPr="00BA210B">
        <w:rPr>
          <w:rFonts w:ascii="Symbol" w:hAnsi="Symbol"/>
          <w:sz w:val="20"/>
          <w:szCs w:val="20"/>
          <w:lang w:bidi="en-US"/>
        </w:rPr>
        <w:t></w:t>
      </w:r>
      <w:r w:rsidRPr="00BA210B">
        <w:rPr>
          <w:rFonts w:ascii="Symbol" w:hAnsi="Symbol"/>
          <w:sz w:val="20"/>
          <w:szCs w:val="20"/>
          <w:lang w:bidi="en-US"/>
        </w:rPr>
        <w:t></w:t>
      </w:r>
      <w:r>
        <w:rPr>
          <w:i/>
          <w:sz w:val="20"/>
          <w:szCs w:val="20"/>
          <w:lang w:bidi="en-US"/>
        </w:rPr>
        <w:t>E</w:t>
      </w:r>
      <w:r w:rsidRPr="006A5333">
        <w:rPr>
          <w:rFonts w:ascii="Calibri" w:hAnsi="Calibri"/>
          <w:sz w:val="20"/>
          <w:szCs w:val="20"/>
          <w:vertAlign w:val="superscript"/>
          <w:lang w:bidi="en-US"/>
        </w:rPr>
        <w:t>‡</w:t>
      </w:r>
      <w:r>
        <w:rPr>
          <w:sz w:val="20"/>
          <w:szCs w:val="20"/>
          <w:lang w:bidi="en-US"/>
        </w:rPr>
        <w:t xml:space="preserve"> </w:t>
      </w:r>
      <w:r w:rsidRPr="00BA210B">
        <w:rPr>
          <w:rFonts w:ascii="Symbol" w:hAnsi="Symbol"/>
          <w:sz w:val="20"/>
          <w:szCs w:val="20"/>
          <w:lang w:bidi="en-US"/>
        </w:rPr>
        <w:t></w:t>
      </w:r>
      <w:r w:rsidRPr="00BA210B">
        <w:rPr>
          <w:rFonts w:ascii="Symbol" w:hAnsi="Symbol"/>
          <w:sz w:val="20"/>
          <w:szCs w:val="20"/>
          <w:lang w:bidi="en-US"/>
        </w:rPr>
        <w:t></w:t>
      </w:r>
      <w:r w:rsidRPr="009A6A09">
        <w:rPr>
          <w:rFonts w:ascii="Symbol" w:hAnsi="Symbol"/>
          <w:i/>
          <w:sz w:val="20"/>
          <w:szCs w:val="20"/>
          <w:lang w:bidi="en-US"/>
        </w:rPr>
        <w:t></w:t>
      </w:r>
      <w:r w:rsidRPr="00BA210B">
        <w:rPr>
          <w:rFonts w:ascii="Symbol" w:hAnsi="Symbol"/>
          <w:sz w:val="20"/>
          <w:szCs w:val="20"/>
          <w:lang w:bidi="en-US"/>
        </w:rPr>
        <w:t></w:t>
      </w:r>
      <w:r>
        <w:rPr>
          <w:i/>
          <w:sz w:val="20"/>
          <w:szCs w:val="20"/>
          <w:lang w:bidi="en-US"/>
        </w:rPr>
        <w:t>S</w:t>
      </w:r>
      <w:r w:rsidRPr="006A5333">
        <w:rPr>
          <w:rFonts w:ascii="Calibri" w:hAnsi="Calibri"/>
          <w:sz w:val="20"/>
          <w:szCs w:val="20"/>
          <w:vertAlign w:val="superscript"/>
          <w:lang w:bidi="en-US"/>
        </w:rPr>
        <w:t>‡</w:t>
      </w:r>
      <w:r>
        <w:rPr>
          <w:sz w:val="20"/>
          <w:szCs w:val="20"/>
          <w:lang w:bidi="en-US"/>
        </w:rPr>
        <w:t xml:space="preserve"> </w:t>
      </w:r>
      <w:r w:rsidRPr="00BA210B">
        <w:rPr>
          <w:rFonts w:ascii="Symbol" w:hAnsi="Symbol"/>
          <w:sz w:val="20"/>
          <w:szCs w:val="20"/>
          <w:lang w:bidi="en-US"/>
        </w:rPr>
        <w:t></w:t>
      </w:r>
      <w:r w:rsidRPr="00BA210B">
        <w:rPr>
          <w:rFonts w:ascii="Symbol" w:hAnsi="Symbol"/>
          <w:sz w:val="20"/>
          <w:szCs w:val="20"/>
          <w:lang w:bidi="en-US"/>
        </w:rPr>
        <w:t></w:t>
      </w:r>
      <w:r>
        <w:rPr>
          <w:rFonts w:ascii="Symbol" w:hAnsi="Symbol"/>
          <w:sz w:val="20"/>
          <w:szCs w:val="20"/>
          <w:lang w:bidi="en-US"/>
        </w:rPr>
        <w:t></w:t>
      </w:r>
      <w:r w:rsidRPr="00BA210B">
        <w:rPr>
          <w:rFonts w:ascii="Symbol" w:hAnsi="Symbol"/>
          <w:sz w:val="20"/>
          <w:szCs w:val="20"/>
          <w:lang w:bidi="en-US"/>
        </w:rPr>
        <w:t></w:t>
      </w:r>
      <w:r>
        <w:rPr>
          <w:i/>
          <w:sz w:val="20"/>
          <w:szCs w:val="20"/>
          <w:lang w:bidi="en-US"/>
        </w:rPr>
        <w:t>q</w:t>
      </w:r>
      <w:r w:rsidRPr="006A5333">
        <w:rPr>
          <w:rFonts w:ascii="Calibri" w:hAnsi="Calibri"/>
          <w:sz w:val="20"/>
          <w:szCs w:val="20"/>
          <w:vertAlign w:val="superscript"/>
          <w:lang w:bidi="en-US"/>
        </w:rPr>
        <w:t>‡</w:t>
      </w:r>
      <w:r>
        <w:rPr>
          <w:sz w:val="20"/>
          <w:szCs w:val="20"/>
          <w:lang w:bidi="en-US"/>
        </w:rPr>
        <w:t xml:space="preserve">, where activation quantities are defined as </w:t>
      </w:r>
      <w:r w:rsidRPr="00BA210B">
        <w:rPr>
          <w:rFonts w:ascii="Symbol" w:hAnsi="Symbol"/>
          <w:sz w:val="20"/>
          <w:szCs w:val="20"/>
          <w:lang w:bidi="en-US"/>
        </w:rPr>
        <w:t></w:t>
      </w:r>
      <w:r>
        <w:rPr>
          <w:i/>
          <w:sz w:val="20"/>
          <w:szCs w:val="20"/>
          <w:lang w:bidi="en-US"/>
        </w:rPr>
        <w:t>X</w:t>
      </w:r>
      <w:r w:rsidRPr="006A5333">
        <w:rPr>
          <w:rFonts w:ascii="Calibri" w:hAnsi="Calibri"/>
          <w:sz w:val="20"/>
          <w:szCs w:val="20"/>
          <w:vertAlign w:val="superscript"/>
          <w:lang w:bidi="en-US"/>
        </w:rPr>
        <w:t>‡</w:t>
      </w:r>
      <w:r>
        <w:rPr>
          <w:sz w:val="20"/>
          <w:szCs w:val="20"/>
          <w:lang w:bidi="en-US"/>
        </w:rPr>
        <w:t xml:space="preserve"> = </w:t>
      </w:r>
      <w:proofErr w:type="spellStart"/>
      <w:r>
        <w:rPr>
          <w:i/>
          <w:sz w:val="20"/>
          <w:szCs w:val="20"/>
          <w:lang w:bidi="en-US"/>
        </w:rPr>
        <w:t>X</w:t>
      </w:r>
      <w:r>
        <w:rPr>
          <w:i/>
          <w:sz w:val="20"/>
          <w:szCs w:val="20"/>
          <w:vertAlign w:val="subscript"/>
          <w:lang w:bidi="en-US"/>
        </w:rPr>
        <w:t>b</w:t>
      </w:r>
      <w:proofErr w:type="spellEnd"/>
      <w:r>
        <w:rPr>
          <w:sz w:val="20"/>
          <w:szCs w:val="20"/>
          <w:lang w:bidi="en-US"/>
        </w:rPr>
        <w:t xml:space="preserve"> </w:t>
      </w:r>
      <w:r w:rsidRPr="00BA210B">
        <w:rPr>
          <w:rFonts w:ascii="Symbol" w:hAnsi="Symbol"/>
          <w:sz w:val="20"/>
          <w:szCs w:val="20"/>
          <w:lang w:bidi="en-US"/>
        </w:rPr>
        <w:t></w:t>
      </w:r>
      <w:r>
        <w:rPr>
          <w:rFonts w:ascii="Symbol" w:hAnsi="Symbol"/>
          <w:sz w:val="20"/>
          <w:szCs w:val="20"/>
          <w:lang w:bidi="en-US"/>
        </w:rPr>
        <w:t></w:t>
      </w:r>
      <w:r>
        <w:rPr>
          <w:i/>
          <w:sz w:val="20"/>
          <w:szCs w:val="20"/>
          <w:lang w:bidi="en-US"/>
        </w:rPr>
        <w:t>X</w:t>
      </w:r>
      <w:r>
        <w:rPr>
          <w:i/>
          <w:sz w:val="20"/>
          <w:szCs w:val="20"/>
          <w:vertAlign w:val="subscript"/>
          <w:lang w:bidi="en-US"/>
        </w:rPr>
        <w:t>R</w:t>
      </w:r>
      <w:r>
        <w:rPr>
          <w:sz w:val="20"/>
          <w:szCs w:val="20"/>
          <w:lang w:bidi="en-US"/>
        </w:rPr>
        <w:t xml:space="preserve">. The regional values of extensive variables are obtained by Boltzmann averaging over the region of interest. </w:t>
      </w:r>
      <w:r w:rsidRPr="00D03E59">
        <w:rPr>
          <w:sz w:val="20"/>
          <w:szCs w:val="20"/>
          <w:lang w:bidi="en-US"/>
        </w:rPr>
        <w:t xml:space="preserve">Thus </w:t>
      </w:r>
      <w:r w:rsidRPr="00D03E59">
        <w:rPr>
          <w:i/>
          <w:sz w:val="20"/>
          <w:szCs w:val="20"/>
          <w:lang w:bidi="en-US"/>
        </w:rPr>
        <w:t>E</w:t>
      </w:r>
      <w:r w:rsidRPr="00D03E59">
        <w:rPr>
          <w:i/>
          <w:sz w:val="20"/>
          <w:szCs w:val="20"/>
          <w:vertAlign w:val="subscript"/>
          <w:lang w:bidi="en-US"/>
        </w:rPr>
        <w:t>x</w:t>
      </w:r>
      <w:r w:rsidRPr="00D03E59">
        <w:rPr>
          <w:sz w:val="20"/>
          <w:szCs w:val="20"/>
          <w:lang w:bidi="en-US"/>
        </w:rPr>
        <w:t xml:space="preserve"> = </w:t>
      </w:r>
      <w:r>
        <w:rPr>
          <w:sz w:val="20"/>
          <w:szCs w:val="20"/>
          <w:lang w:bidi="en-US"/>
        </w:rPr>
        <w:sym w:font="Symbol" w:char="F0E1"/>
      </w:r>
      <w:r w:rsidRPr="00D03E59">
        <w:rPr>
          <w:i/>
          <w:sz w:val="20"/>
          <w:szCs w:val="20"/>
          <w:lang w:bidi="en-US"/>
        </w:rPr>
        <w:t>E</w:t>
      </w:r>
      <w:r>
        <w:rPr>
          <w:sz w:val="20"/>
          <w:szCs w:val="20"/>
          <w:lang w:bidi="en-US"/>
        </w:rPr>
        <w:sym w:font="Symbol" w:char="F0F1"/>
      </w:r>
      <w:r w:rsidRPr="00D03E59">
        <w:rPr>
          <w:i/>
          <w:sz w:val="20"/>
          <w:szCs w:val="20"/>
          <w:vertAlign w:val="subscript"/>
          <w:lang w:bidi="en-US"/>
        </w:rPr>
        <w:t>x</w:t>
      </w:r>
      <w:r w:rsidRPr="00D03E59">
        <w:rPr>
          <w:sz w:val="20"/>
          <w:szCs w:val="20"/>
          <w:lang w:bidi="en-US"/>
        </w:rPr>
        <w:t xml:space="preserve">, </w:t>
      </w:r>
      <w:proofErr w:type="spellStart"/>
      <w:r w:rsidRPr="00D03E59">
        <w:rPr>
          <w:i/>
          <w:sz w:val="20"/>
          <w:szCs w:val="20"/>
          <w:lang w:bidi="en-US"/>
        </w:rPr>
        <w:t>q</w:t>
      </w:r>
      <w:r w:rsidRPr="00D03E59">
        <w:rPr>
          <w:i/>
          <w:sz w:val="20"/>
          <w:szCs w:val="20"/>
          <w:vertAlign w:val="subscript"/>
          <w:lang w:bidi="en-US"/>
        </w:rPr>
        <w:t>x</w:t>
      </w:r>
      <w:proofErr w:type="spellEnd"/>
      <w:r w:rsidRPr="00D03E59">
        <w:rPr>
          <w:sz w:val="20"/>
          <w:szCs w:val="20"/>
          <w:lang w:bidi="en-US"/>
        </w:rPr>
        <w:t xml:space="preserve"> = </w:t>
      </w:r>
      <w:r>
        <w:rPr>
          <w:sz w:val="20"/>
          <w:szCs w:val="20"/>
          <w:lang w:bidi="en-US"/>
        </w:rPr>
        <w:sym w:font="Symbol" w:char="F0E1"/>
      </w:r>
      <w:r w:rsidRPr="00D03E59">
        <w:rPr>
          <w:i/>
          <w:sz w:val="20"/>
          <w:szCs w:val="20"/>
          <w:lang w:bidi="en-US"/>
        </w:rPr>
        <w:t>q</w:t>
      </w:r>
      <w:r>
        <w:rPr>
          <w:sz w:val="20"/>
          <w:szCs w:val="20"/>
          <w:lang w:bidi="en-US"/>
        </w:rPr>
        <w:sym w:font="Symbol" w:char="F0F1"/>
      </w:r>
      <w:r w:rsidRPr="00D03E59">
        <w:rPr>
          <w:i/>
          <w:sz w:val="20"/>
          <w:szCs w:val="20"/>
          <w:vertAlign w:val="subscript"/>
          <w:lang w:bidi="en-US"/>
        </w:rPr>
        <w:t>x</w:t>
      </w:r>
      <w:r w:rsidRPr="00D03E59">
        <w:rPr>
          <w:sz w:val="20"/>
          <w:szCs w:val="20"/>
          <w:lang w:bidi="en-US"/>
        </w:rPr>
        <w:t xml:space="preserve">, and </w:t>
      </w:r>
      <w:proofErr w:type="spellStart"/>
      <w:r w:rsidRPr="00D03E59">
        <w:rPr>
          <w:i/>
          <w:sz w:val="20"/>
          <w:szCs w:val="20"/>
          <w:lang w:bidi="en-US"/>
        </w:rPr>
        <w:t>S</w:t>
      </w:r>
      <w:r w:rsidRPr="00D03E59">
        <w:rPr>
          <w:i/>
          <w:sz w:val="20"/>
          <w:szCs w:val="20"/>
          <w:vertAlign w:val="subscript"/>
          <w:lang w:bidi="en-US"/>
        </w:rPr>
        <w:t>x</w:t>
      </w:r>
      <w:proofErr w:type="spellEnd"/>
      <w:r w:rsidRPr="00D03E59">
        <w:rPr>
          <w:sz w:val="20"/>
          <w:szCs w:val="20"/>
          <w:lang w:bidi="en-US"/>
        </w:rPr>
        <w:t xml:space="preserve"> = </w:t>
      </w:r>
      <w:r w:rsidRPr="00380A05">
        <w:rPr>
          <w:rFonts w:ascii="Symbol" w:hAnsi="Symbol"/>
          <w:sz w:val="20"/>
          <w:szCs w:val="20"/>
          <w:lang w:bidi="en-US"/>
        </w:rPr>
        <w:t></w:t>
      </w:r>
      <w:r w:rsidRPr="00D03E59">
        <w:rPr>
          <w:i/>
          <w:sz w:val="20"/>
          <w:szCs w:val="20"/>
          <w:lang w:bidi="en-US"/>
        </w:rPr>
        <w:t>k</w:t>
      </w:r>
      <w:r>
        <w:rPr>
          <w:sz w:val="20"/>
          <w:szCs w:val="20"/>
          <w:lang w:bidi="en-US"/>
        </w:rPr>
        <w:sym w:font="Symbol" w:char="F0E1"/>
      </w:r>
      <w:proofErr w:type="spellStart"/>
      <w:r w:rsidRPr="00D03E59">
        <w:rPr>
          <w:sz w:val="20"/>
          <w:szCs w:val="20"/>
          <w:lang w:bidi="en-US"/>
        </w:rPr>
        <w:t>ln</w:t>
      </w:r>
      <w:r>
        <w:rPr>
          <w:i/>
          <w:sz w:val="20"/>
          <w:szCs w:val="20"/>
          <w:lang w:bidi="en-US"/>
        </w:rPr>
        <w:t>p</w:t>
      </w:r>
      <w:proofErr w:type="spellEnd"/>
      <w:r>
        <w:rPr>
          <w:sz w:val="20"/>
          <w:szCs w:val="20"/>
          <w:lang w:bidi="en-US"/>
        </w:rPr>
        <w:sym w:font="Symbol" w:char="F0F1"/>
      </w:r>
      <w:r w:rsidRPr="00471236">
        <w:rPr>
          <w:i/>
          <w:sz w:val="20"/>
          <w:szCs w:val="20"/>
          <w:vertAlign w:val="subscript"/>
          <w:lang w:bidi="en-US"/>
        </w:rPr>
        <w:t>x</w:t>
      </w:r>
      <w:r>
        <w:rPr>
          <w:sz w:val="20"/>
          <w:szCs w:val="20"/>
          <w:lang w:bidi="en-US"/>
        </w:rPr>
        <w:t xml:space="preserve">, where </w:t>
      </w:r>
      <w:r w:rsidRPr="00471236">
        <w:rPr>
          <w:i/>
          <w:sz w:val="20"/>
          <w:szCs w:val="20"/>
          <w:lang w:bidi="en-US"/>
        </w:rPr>
        <w:t>x</w:t>
      </w:r>
      <w:r>
        <w:rPr>
          <w:sz w:val="20"/>
          <w:szCs w:val="20"/>
          <w:lang w:bidi="en-US"/>
        </w:rPr>
        <w:t xml:space="preserve"> = {R, b, P} defines the region of summation. In our study, ensemble averaging was performed over microcanonical ensemble states (</w:t>
      </w:r>
      <w:r w:rsidRPr="00D03E59">
        <w:rPr>
          <w:i/>
          <w:sz w:val="20"/>
          <w:szCs w:val="20"/>
          <w:lang w:bidi="en-US"/>
        </w:rPr>
        <w:t>m</w:t>
      </w:r>
      <w:r>
        <w:rPr>
          <w:sz w:val="20"/>
          <w:szCs w:val="20"/>
          <w:lang w:bidi="en-US"/>
        </w:rPr>
        <w:t xml:space="preserve">, </w:t>
      </w:r>
      <w:r w:rsidRPr="00D03E59">
        <w:rPr>
          <w:i/>
          <w:sz w:val="20"/>
          <w:szCs w:val="20"/>
          <w:lang w:bidi="en-US"/>
        </w:rPr>
        <w:t>n</w:t>
      </w:r>
      <w:proofErr w:type="gramStart"/>
      <w:r>
        <w:rPr>
          <w:sz w:val="20"/>
          <w:szCs w:val="20"/>
          <w:lang w:bidi="en-US"/>
        </w:rPr>
        <w:t>)</w:t>
      </w:r>
      <w:r w:rsidRPr="000F38B7">
        <w:rPr>
          <w:i/>
          <w:sz w:val="20"/>
          <w:szCs w:val="20"/>
          <w:vertAlign w:val="subscript"/>
          <w:lang w:bidi="en-US"/>
        </w:rPr>
        <w:t>x</w:t>
      </w:r>
      <w:proofErr w:type="gramEnd"/>
      <w:r>
        <w:rPr>
          <w:sz w:val="20"/>
          <w:szCs w:val="20"/>
          <w:lang w:bidi="en-US"/>
        </w:rPr>
        <w:t xml:space="preserve"> with regional probability distribution functions </w:t>
      </w:r>
      <w:proofErr w:type="spellStart"/>
      <w:r w:rsidRPr="00D03E59">
        <w:rPr>
          <w:i/>
          <w:sz w:val="20"/>
          <w:szCs w:val="20"/>
          <w:lang w:bidi="en-US"/>
        </w:rPr>
        <w:t>p</w:t>
      </w:r>
      <w:r w:rsidRPr="00D03E59">
        <w:rPr>
          <w:i/>
          <w:sz w:val="20"/>
          <w:szCs w:val="20"/>
          <w:vertAlign w:val="subscript"/>
          <w:lang w:bidi="en-US"/>
        </w:rPr>
        <w:t>mn</w:t>
      </w:r>
      <w:proofErr w:type="spellEnd"/>
      <w:r>
        <w:rPr>
          <w:sz w:val="20"/>
          <w:szCs w:val="20"/>
          <w:lang w:bidi="en-US"/>
        </w:rPr>
        <w:t xml:space="preserve"> = </w:t>
      </w:r>
      <w:r w:rsidRPr="000F38B7">
        <w:rPr>
          <w:i/>
          <w:sz w:val="20"/>
          <w:szCs w:val="20"/>
          <w:lang w:bidi="en-US"/>
        </w:rPr>
        <w:t>Z</w:t>
      </w:r>
      <w:r w:rsidRPr="000F38B7">
        <w:rPr>
          <w:i/>
          <w:sz w:val="20"/>
          <w:szCs w:val="20"/>
          <w:vertAlign w:val="subscript"/>
          <w:lang w:bidi="en-US"/>
        </w:rPr>
        <w:t>x</w:t>
      </w:r>
      <w:r w:rsidRPr="004050FF">
        <w:rPr>
          <w:rFonts w:ascii="Symbol" w:hAnsi="Symbol"/>
          <w:sz w:val="20"/>
          <w:szCs w:val="20"/>
          <w:vertAlign w:val="superscript"/>
          <w:lang w:bidi="en-US"/>
        </w:rPr>
        <w:t></w:t>
      </w:r>
      <w:r w:rsidRPr="000F38B7">
        <w:rPr>
          <w:sz w:val="20"/>
          <w:szCs w:val="20"/>
          <w:vertAlign w:val="superscript"/>
          <w:lang w:bidi="en-US"/>
        </w:rPr>
        <w:t>1</w:t>
      </w:r>
      <w:r>
        <w:rPr>
          <w:sz w:val="20"/>
          <w:szCs w:val="20"/>
          <w:lang w:bidi="en-US"/>
        </w:rPr>
        <w:t>exp[</w:t>
      </w:r>
      <w:r>
        <w:rPr>
          <w:rFonts w:ascii="Symbol" w:hAnsi="Symbol"/>
          <w:sz w:val="20"/>
          <w:szCs w:val="20"/>
          <w:lang w:bidi="en-US"/>
        </w:rPr>
        <w:sym w:font="Symbol" w:char="F0B1"/>
      </w:r>
      <w:r>
        <w:rPr>
          <w:sz w:val="20"/>
          <w:szCs w:val="20"/>
          <w:lang w:bidi="en-US"/>
        </w:rPr>
        <w:t>(</w:t>
      </w:r>
      <w:proofErr w:type="spellStart"/>
      <w:r w:rsidRPr="000F38B7">
        <w:rPr>
          <w:i/>
          <w:sz w:val="20"/>
          <w:szCs w:val="20"/>
          <w:lang w:bidi="en-US"/>
        </w:rPr>
        <w:t>E</w:t>
      </w:r>
      <w:r w:rsidRPr="000F38B7">
        <w:rPr>
          <w:i/>
          <w:sz w:val="20"/>
          <w:szCs w:val="20"/>
          <w:vertAlign w:val="subscript"/>
          <w:lang w:bidi="en-US"/>
        </w:rPr>
        <w:t>m</w:t>
      </w:r>
      <w:proofErr w:type="spellEnd"/>
      <w:r>
        <w:rPr>
          <w:i/>
          <w:sz w:val="20"/>
          <w:szCs w:val="20"/>
          <w:vertAlign w:val="subscript"/>
          <w:lang w:bidi="en-US"/>
        </w:rPr>
        <w:t xml:space="preserve"> </w:t>
      </w:r>
      <w:r w:rsidRPr="000F38B7">
        <w:rPr>
          <w:rFonts w:ascii="Symbol" w:hAnsi="Symbol"/>
          <w:sz w:val="20"/>
          <w:szCs w:val="20"/>
          <w:lang w:bidi="en-US"/>
        </w:rPr>
        <w:t></w:t>
      </w:r>
      <w:r>
        <w:rPr>
          <w:rFonts w:ascii="Symbol" w:hAnsi="Symbol"/>
          <w:sz w:val="20"/>
          <w:szCs w:val="20"/>
          <w:lang w:bidi="en-US"/>
        </w:rPr>
        <w:t></w:t>
      </w:r>
      <w:proofErr w:type="spellStart"/>
      <w:r w:rsidRPr="000F38B7">
        <w:rPr>
          <w:i/>
          <w:sz w:val="20"/>
          <w:szCs w:val="20"/>
          <w:lang w:bidi="en-US"/>
        </w:rPr>
        <w:t>k</w:t>
      </w:r>
      <w:r>
        <w:rPr>
          <w:sz w:val="20"/>
          <w:szCs w:val="20"/>
          <w:lang w:bidi="en-US"/>
        </w:rPr>
        <w:t>ln</w:t>
      </w:r>
      <w:r w:rsidRPr="000F38B7">
        <w:rPr>
          <w:rFonts w:ascii="Symbol" w:hAnsi="Symbol"/>
          <w:sz w:val="20"/>
          <w:szCs w:val="20"/>
          <w:lang w:bidi="en-US"/>
        </w:rPr>
        <w:t></w:t>
      </w:r>
      <w:r w:rsidRPr="000F38B7">
        <w:rPr>
          <w:i/>
          <w:sz w:val="20"/>
          <w:szCs w:val="20"/>
          <w:vertAlign w:val="subscript"/>
          <w:lang w:bidi="en-US"/>
        </w:rPr>
        <w:t>mn</w:t>
      </w:r>
      <w:r w:rsidRPr="000F38B7">
        <w:rPr>
          <w:i/>
          <w:sz w:val="20"/>
          <w:szCs w:val="20"/>
          <w:lang w:bidi="en-US"/>
        </w:rPr>
        <w:t>T</w:t>
      </w:r>
      <w:proofErr w:type="spellEnd"/>
      <w:r>
        <w:rPr>
          <w:i/>
          <w:sz w:val="20"/>
          <w:szCs w:val="20"/>
          <w:lang w:bidi="en-US"/>
        </w:rPr>
        <w:t xml:space="preserve"> </w:t>
      </w:r>
      <w:r w:rsidRPr="000F38B7">
        <w:rPr>
          <w:rFonts w:ascii="Symbol" w:hAnsi="Symbol"/>
          <w:sz w:val="20"/>
          <w:szCs w:val="20"/>
          <w:lang w:bidi="en-US"/>
        </w:rPr>
        <w:t></w:t>
      </w:r>
      <w:r>
        <w:rPr>
          <w:rFonts w:ascii="Symbol" w:hAnsi="Symbol"/>
          <w:sz w:val="20"/>
          <w:szCs w:val="20"/>
          <w:lang w:bidi="en-US"/>
        </w:rPr>
        <w:t></w:t>
      </w:r>
      <w:proofErr w:type="spellStart"/>
      <w:r w:rsidRPr="000F38B7">
        <w:rPr>
          <w:i/>
          <w:sz w:val="20"/>
          <w:szCs w:val="20"/>
          <w:lang w:bidi="en-US"/>
        </w:rPr>
        <w:t>q</w:t>
      </w:r>
      <w:r w:rsidRPr="000F38B7">
        <w:rPr>
          <w:i/>
          <w:sz w:val="20"/>
          <w:szCs w:val="20"/>
          <w:vertAlign w:val="subscript"/>
          <w:lang w:bidi="en-US"/>
        </w:rPr>
        <w:t>m</w:t>
      </w:r>
      <w:proofErr w:type="spellEnd"/>
      <w:r w:rsidRPr="000F38B7">
        <w:rPr>
          <w:rFonts w:ascii="Symbol" w:hAnsi="Symbol"/>
          <w:sz w:val="20"/>
          <w:szCs w:val="20"/>
          <w:lang w:bidi="en-US"/>
        </w:rPr>
        <w:t></w:t>
      </w:r>
      <w:r>
        <w:rPr>
          <w:sz w:val="20"/>
          <w:szCs w:val="20"/>
          <w:lang w:bidi="en-US"/>
        </w:rPr>
        <w:t>)/</w:t>
      </w:r>
      <w:proofErr w:type="spellStart"/>
      <w:r w:rsidRPr="000F38B7">
        <w:rPr>
          <w:i/>
          <w:sz w:val="20"/>
          <w:szCs w:val="20"/>
          <w:lang w:bidi="en-US"/>
        </w:rPr>
        <w:t>kT</w:t>
      </w:r>
      <w:proofErr w:type="spellEnd"/>
      <w:r>
        <w:rPr>
          <w:sz w:val="20"/>
          <w:szCs w:val="20"/>
          <w:lang w:bidi="en-US"/>
        </w:rPr>
        <w:t xml:space="preserve">], where the positive sign in the exponent corresponds to barriers and the </w:t>
      </w:r>
      <w:r>
        <w:rPr>
          <w:sz w:val="20"/>
          <w:szCs w:val="20"/>
          <w:lang w:bidi="en-US"/>
        </w:rPr>
        <w:lastRenderedPageBreak/>
        <w:t xml:space="preserve">negative sign to basins. We defined the reactant state as having </w:t>
      </w:r>
      <w:r w:rsidRPr="009D3E46">
        <w:rPr>
          <w:i/>
          <w:sz w:val="20"/>
          <w:szCs w:val="20"/>
          <w:lang w:bidi="en-US"/>
        </w:rPr>
        <w:t>q</w:t>
      </w:r>
      <w:r>
        <w:rPr>
          <w:sz w:val="20"/>
          <w:szCs w:val="20"/>
          <w:lang w:bidi="en-US"/>
        </w:rPr>
        <w:t xml:space="preserve">-values in the range [0, </w:t>
      </w:r>
      <w:r w:rsidRPr="00C220BA">
        <w:rPr>
          <w:i/>
          <w:sz w:val="20"/>
          <w:szCs w:val="20"/>
          <w:lang w:bidi="en-US"/>
        </w:rPr>
        <w:t>q</w:t>
      </w:r>
      <w:r w:rsidRPr="00C220BA">
        <w:rPr>
          <w:sz w:val="20"/>
          <w:szCs w:val="20"/>
          <w:vertAlign w:val="superscript"/>
          <w:lang w:bidi="en-US"/>
        </w:rPr>
        <w:t>*</w:t>
      </w:r>
      <w:r>
        <w:rPr>
          <w:sz w:val="20"/>
          <w:szCs w:val="20"/>
          <w:lang w:bidi="en-US"/>
        </w:rPr>
        <w:t>] and defined the barrier region by [</w:t>
      </w:r>
      <w:r w:rsidRPr="00480E16">
        <w:rPr>
          <w:i/>
          <w:sz w:val="20"/>
          <w:szCs w:val="20"/>
          <w:lang w:bidi="en-US"/>
        </w:rPr>
        <w:t>q</w:t>
      </w:r>
      <w:r w:rsidRPr="00480E16">
        <w:rPr>
          <w:sz w:val="20"/>
          <w:szCs w:val="20"/>
          <w:vertAlign w:val="subscript"/>
          <w:lang w:bidi="en-US"/>
        </w:rPr>
        <w:t>1</w:t>
      </w:r>
      <w:r>
        <w:rPr>
          <w:sz w:val="20"/>
          <w:szCs w:val="20"/>
          <w:lang w:bidi="en-US"/>
        </w:rPr>
        <w:t xml:space="preserve">, </w:t>
      </w:r>
      <w:r w:rsidRPr="00480E16">
        <w:rPr>
          <w:i/>
          <w:sz w:val="20"/>
          <w:szCs w:val="20"/>
          <w:lang w:bidi="en-US"/>
        </w:rPr>
        <w:t>q</w:t>
      </w:r>
      <w:r w:rsidRPr="00480E16">
        <w:rPr>
          <w:sz w:val="20"/>
          <w:szCs w:val="20"/>
          <w:vertAlign w:val="subscript"/>
          <w:lang w:bidi="en-US"/>
        </w:rPr>
        <w:t>2</w:t>
      </w:r>
      <w:r>
        <w:rPr>
          <w:sz w:val="20"/>
          <w:szCs w:val="20"/>
          <w:lang w:bidi="en-US"/>
        </w:rPr>
        <w:t xml:space="preserve">]. The reactant and barrier ranges overlap, but for well-separated regional probability distributions (Fig. </w:t>
      </w:r>
      <w:r w:rsidR="00023368">
        <w:rPr>
          <w:sz w:val="20"/>
          <w:szCs w:val="20"/>
          <w:lang w:bidi="en-US"/>
        </w:rPr>
        <w:t>S2a</w:t>
      </w:r>
      <w:r>
        <w:rPr>
          <w:sz w:val="20"/>
          <w:szCs w:val="20"/>
          <w:lang w:bidi="en-US"/>
        </w:rPr>
        <w:t>), this has minimal effect on the outcome. Assigning regional states reduced the coarse-grained potential o</w:t>
      </w:r>
      <w:r w:rsidR="00023368">
        <w:rPr>
          <w:sz w:val="20"/>
          <w:szCs w:val="20"/>
          <w:lang w:bidi="en-US"/>
        </w:rPr>
        <w:t>f mean force to a discrete “</w:t>
      </w:r>
      <w:proofErr w:type="spellStart"/>
      <w:r w:rsidR="00023368">
        <w:rPr>
          <w:sz w:val="20"/>
          <w:szCs w:val="20"/>
          <w:lang w:bidi="en-US"/>
        </w:rPr>
        <w:t>saw</w:t>
      </w:r>
      <w:r>
        <w:rPr>
          <w:sz w:val="20"/>
          <w:szCs w:val="20"/>
          <w:lang w:bidi="en-US"/>
        </w:rPr>
        <w:t>tooth</w:t>
      </w:r>
      <w:proofErr w:type="spellEnd"/>
      <w:r>
        <w:rPr>
          <w:sz w:val="20"/>
          <w:szCs w:val="20"/>
          <w:lang w:bidi="en-US"/>
        </w:rPr>
        <w:t>” landscape defined by three (</w:t>
      </w:r>
      <w:r w:rsidRPr="0085420F">
        <w:rPr>
          <w:i/>
          <w:sz w:val="20"/>
          <w:szCs w:val="20"/>
          <w:lang w:bidi="en-US"/>
        </w:rPr>
        <w:t>q</w:t>
      </w:r>
      <w:r>
        <w:rPr>
          <w:sz w:val="20"/>
          <w:szCs w:val="20"/>
          <w:lang w:bidi="en-US"/>
        </w:rPr>
        <w:t xml:space="preserve">, </w:t>
      </w:r>
      <w:r w:rsidRPr="0085420F">
        <w:rPr>
          <w:i/>
          <w:sz w:val="20"/>
          <w:szCs w:val="20"/>
          <w:lang w:bidi="en-US"/>
        </w:rPr>
        <w:t>W</w:t>
      </w:r>
      <w:r>
        <w:rPr>
          <w:sz w:val="20"/>
          <w:szCs w:val="20"/>
          <w:lang w:bidi="en-US"/>
        </w:rPr>
        <w:t xml:space="preserve">) coordinates. </w:t>
      </w:r>
      <w:r w:rsidR="00434693">
        <w:rPr>
          <w:sz w:val="20"/>
          <w:szCs w:val="20"/>
          <w:lang w:bidi="en-US"/>
        </w:rPr>
        <w:t>It is not a requirement that the landscape be piecewise parabolic</w:t>
      </w:r>
      <w:r w:rsidRPr="00434693">
        <w:rPr>
          <w:sz w:val="20"/>
          <w:szCs w:val="20"/>
          <w:lang w:bidi="en-US"/>
        </w:rPr>
        <w:t>.</w:t>
      </w:r>
      <w:r w:rsidR="004565DF">
        <w:rPr>
          <w:sz w:val="20"/>
          <w:szCs w:val="20"/>
          <w:lang w:bidi="en-US"/>
        </w:rPr>
        <w:t xml:space="preserve"> The temperature dependence of </w:t>
      </w:r>
      <w:r w:rsidR="004565DF" w:rsidRPr="00BA210B">
        <w:rPr>
          <w:rFonts w:ascii="Symbol" w:hAnsi="Symbol"/>
          <w:sz w:val="20"/>
          <w:szCs w:val="20"/>
          <w:lang w:bidi="en-US"/>
        </w:rPr>
        <w:t></w:t>
      </w:r>
      <w:r w:rsidR="004565DF" w:rsidRPr="00BA210B">
        <w:rPr>
          <w:i/>
          <w:sz w:val="20"/>
          <w:szCs w:val="20"/>
          <w:lang w:bidi="en-US"/>
        </w:rPr>
        <w:t>W</w:t>
      </w:r>
      <w:r w:rsidR="004565DF" w:rsidRPr="006A5333">
        <w:rPr>
          <w:rFonts w:ascii="Calibri" w:hAnsi="Calibri"/>
          <w:sz w:val="20"/>
          <w:szCs w:val="20"/>
          <w:vertAlign w:val="superscript"/>
          <w:lang w:bidi="en-US"/>
        </w:rPr>
        <w:t>‡</w:t>
      </w:r>
      <w:r w:rsidR="004565DF">
        <w:rPr>
          <w:sz w:val="20"/>
          <w:szCs w:val="20"/>
          <w:lang w:bidi="en-US"/>
        </w:rPr>
        <w:t xml:space="preserve"> and its compon</w:t>
      </w:r>
      <w:r w:rsidR="00CD5F24">
        <w:rPr>
          <w:sz w:val="20"/>
          <w:szCs w:val="20"/>
          <w:lang w:bidi="en-US"/>
        </w:rPr>
        <w:t>ents are shown Fig, S2b,</w:t>
      </w:r>
      <w:r w:rsidR="008312C6">
        <w:rPr>
          <w:sz w:val="20"/>
          <w:szCs w:val="20"/>
          <w:lang w:bidi="en-US"/>
        </w:rPr>
        <w:t xml:space="preserve"> c</w:t>
      </w:r>
      <w:r w:rsidR="004565DF">
        <w:rPr>
          <w:sz w:val="20"/>
          <w:szCs w:val="20"/>
          <w:lang w:bidi="en-US"/>
        </w:rPr>
        <w:t>.</w:t>
      </w:r>
      <w:r w:rsidR="008312C6">
        <w:rPr>
          <w:sz w:val="20"/>
          <w:szCs w:val="20"/>
          <w:lang w:bidi="en-US"/>
        </w:rPr>
        <w:t xml:space="preserve"> The rate constant expression </w:t>
      </w:r>
      <w:r w:rsidR="00023368">
        <w:rPr>
          <w:sz w:val="20"/>
          <w:szCs w:val="20"/>
          <w:lang w:bidi="en-US"/>
        </w:rPr>
        <w:t>can be</w:t>
      </w:r>
      <w:r w:rsidR="008312C6">
        <w:rPr>
          <w:sz w:val="20"/>
          <w:szCs w:val="20"/>
          <w:lang w:bidi="en-US"/>
        </w:rPr>
        <w:t xml:space="preserve"> </w:t>
      </w:r>
      <w:r w:rsidR="00023368">
        <w:rPr>
          <w:sz w:val="20"/>
          <w:szCs w:val="20"/>
          <w:lang w:bidi="en-US"/>
        </w:rPr>
        <w:t xml:space="preserve">rewritten as </w:t>
      </w:r>
      <w:r w:rsidR="00023368" w:rsidRPr="00023368">
        <w:rPr>
          <w:i/>
          <w:sz w:val="20"/>
          <w:szCs w:val="20"/>
          <w:lang w:bidi="en-US"/>
        </w:rPr>
        <w:t>k</w:t>
      </w:r>
      <w:r w:rsidR="00023368">
        <w:rPr>
          <w:sz w:val="20"/>
          <w:szCs w:val="20"/>
          <w:lang w:bidi="en-US"/>
        </w:rPr>
        <w:t xml:space="preserve"> =</w:t>
      </w:r>
      <w:r w:rsidR="008312C6">
        <w:rPr>
          <w:sz w:val="20"/>
          <w:szCs w:val="20"/>
          <w:lang w:bidi="en-US"/>
        </w:rPr>
        <w:t xml:space="preserve"> </w:t>
      </w:r>
      <w:proofErr w:type="gramStart"/>
      <w:r w:rsidR="008312C6" w:rsidRPr="008312C6">
        <w:rPr>
          <w:i/>
          <w:sz w:val="20"/>
          <w:szCs w:val="20"/>
          <w:lang w:bidi="en-US"/>
        </w:rPr>
        <w:t>D</w:t>
      </w:r>
      <w:r w:rsidR="008312C6" w:rsidRPr="008312C6">
        <w:rPr>
          <w:sz w:val="20"/>
          <w:szCs w:val="20"/>
          <w:vertAlign w:val="subscript"/>
          <w:lang w:bidi="en-US"/>
        </w:rPr>
        <w:t>1</w:t>
      </w:r>
      <w:r w:rsidR="008312C6">
        <w:rPr>
          <w:sz w:val="20"/>
          <w:szCs w:val="20"/>
          <w:lang w:bidi="en-US"/>
        </w:rPr>
        <w:t>e</w:t>
      </w:r>
      <w:r w:rsidR="008312C6">
        <w:rPr>
          <w:sz w:val="20"/>
          <w:szCs w:val="20"/>
          <w:lang w:bidi="en-US"/>
        </w:rPr>
        <w:t>xp(</w:t>
      </w:r>
      <w:proofErr w:type="gramEnd"/>
      <w:r w:rsidR="008312C6">
        <w:rPr>
          <w:sz w:val="20"/>
          <w:szCs w:val="20"/>
          <w:lang w:bidi="en-US"/>
        </w:rPr>
        <w:t>–</w:t>
      </w:r>
      <w:r w:rsidR="008312C6" w:rsidRPr="00BA210B">
        <w:rPr>
          <w:rFonts w:ascii="Symbol" w:hAnsi="Symbol"/>
          <w:sz w:val="20"/>
          <w:szCs w:val="20"/>
          <w:lang w:bidi="en-US"/>
        </w:rPr>
        <w:t></w:t>
      </w:r>
      <w:r w:rsidR="008312C6" w:rsidRPr="00BA210B">
        <w:rPr>
          <w:i/>
          <w:sz w:val="20"/>
          <w:szCs w:val="20"/>
          <w:lang w:bidi="en-US"/>
        </w:rPr>
        <w:t>W</w:t>
      </w:r>
      <w:r w:rsidR="008312C6" w:rsidRPr="006A5333">
        <w:rPr>
          <w:rFonts w:ascii="Calibri" w:hAnsi="Calibri"/>
          <w:sz w:val="20"/>
          <w:szCs w:val="20"/>
          <w:vertAlign w:val="superscript"/>
          <w:lang w:bidi="en-US"/>
        </w:rPr>
        <w:t>‡</w:t>
      </w:r>
      <w:r w:rsidR="008312C6">
        <w:rPr>
          <w:sz w:val="20"/>
          <w:szCs w:val="20"/>
          <w:lang w:bidi="en-US"/>
        </w:rPr>
        <w:t>/</w:t>
      </w:r>
      <w:proofErr w:type="spellStart"/>
      <w:r w:rsidR="008312C6" w:rsidRPr="00BA210B">
        <w:rPr>
          <w:i/>
          <w:sz w:val="20"/>
          <w:szCs w:val="20"/>
          <w:lang w:bidi="en-US"/>
        </w:rPr>
        <w:t>kT</w:t>
      </w:r>
      <w:proofErr w:type="spellEnd"/>
      <w:r w:rsidR="008312C6">
        <w:rPr>
          <w:sz w:val="20"/>
          <w:szCs w:val="20"/>
          <w:lang w:bidi="en-US"/>
        </w:rPr>
        <w:t>)</w:t>
      </w:r>
      <w:r w:rsidR="00023368">
        <w:rPr>
          <w:sz w:val="20"/>
          <w:szCs w:val="20"/>
          <w:lang w:bidi="en-US"/>
        </w:rPr>
        <w:t>.</w:t>
      </w:r>
    </w:p>
    <w:p w:rsidR="0069424B" w:rsidRPr="0077725E" w:rsidRDefault="00EA53CD" w:rsidP="0069424B">
      <w:pPr>
        <w:pStyle w:val="NormalWeb"/>
        <w:shd w:val="clear" w:color="auto" w:fill="FFFFFF"/>
        <w:spacing w:after="120" w:line="480" w:lineRule="auto"/>
        <w:ind w:left="567" w:firstLine="567"/>
        <w:jc w:val="both"/>
        <w:rPr>
          <w:sz w:val="20"/>
          <w:szCs w:val="20"/>
          <w:lang w:bidi="en-US"/>
        </w:rPr>
      </w:pPr>
      <w:r>
        <w:rPr>
          <w:noProof/>
        </w:rPr>
        <w:drawing>
          <wp:inline distT="0" distB="0" distL="0" distR="0" wp14:anchorId="19B71604" wp14:editId="0E0423B7">
            <wp:extent cx="3716121" cy="175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8188" cy="1767252"/>
                    </a:xfrm>
                    <a:prstGeom prst="rect">
                      <a:avLst/>
                    </a:prstGeom>
                  </pic:spPr>
                </pic:pic>
              </a:graphicData>
            </a:graphic>
          </wp:inline>
        </w:drawing>
      </w:r>
    </w:p>
    <w:p w:rsidR="0069424B" w:rsidRPr="00FA2AE6" w:rsidRDefault="0069424B" w:rsidP="0069424B">
      <w:pPr>
        <w:pStyle w:val="NormalWeb"/>
        <w:shd w:val="clear" w:color="auto" w:fill="FFFFFF"/>
        <w:spacing w:after="120" w:line="480" w:lineRule="auto"/>
        <w:jc w:val="both"/>
        <w:rPr>
          <w:noProof/>
        </w:rPr>
      </w:pPr>
      <w:r w:rsidRPr="00E118DD">
        <w:rPr>
          <w:sz w:val="18"/>
          <w:szCs w:val="18"/>
          <w:lang w:bidi="en-US"/>
        </w:rPr>
        <w:t xml:space="preserve">FIG. </w:t>
      </w:r>
      <w:r w:rsidR="00434693">
        <w:rPr>
          <w:sz w:val="18"/>
          <w:szCs w:val="18"/>
          <w:lang w:bidi="en-US"/>
        </w:rPr>
        <w:t>S2</w:t>
      </w:r>
      <w:r w:rsidRPr="00E118DD">
        <w:rPr>
          <w:sz w:val="18"/>
          <w:szCs w:val="18"/>
          <w:lang w:bidi="en-US"/>
        </w:rPr>
        <w:t>.</w:t>
      </w:r>
      <w:r>
        <w:rPr>
          <w:sz w:val="18"/>
          <w:szCs w:val="18"/>
          <w:lang w:bidi="en-US"/>
        </w:rPr>
        <w:t xml:space="preserve"> Discretization of the 1D </w:t>
      </w:r>
      <w:r w:rsidR="00023368">
        <w:rPr>
          <w:sz w:val="18"/>
          <w:szCs w:val="18"/>
          <w:lang w:bidi="en-US"/>
        </w:rPr>
        <w:t>diffusion landscape into a “</w:t>
      </w:r>
      <w:proofErr w:type="spellStart"/>
      <w:r w:rsidR="00023368">
        <w:rPr>
          <w:sz w:val="18"/>
          <w:szCs w:val="18"/>
          <w:lang w:bidi="en-US"/>
        </w:rPr>
        <w:t>saw</w:t>
      </w:r>
      <w:r>
        <w:rPr>
          <w:sz w:val="18"/>
          <w:szCs w:val="18"/>
          <w:lang w:bidi="en-US"/>
        </w:rPr>
        <w:t>tooth</w:t>
      </w:r>
      <w:proofErr w:type="spellEnd"/>
      <w:r>
        <w:rPr>
          <w:sz w:val="18"/>
          <w:szCs w:val="18"/>
          <w:lang w:bidi="en-US"/>
        </w:rPr>
        <w:t>” landscape (reference model). (a) Black crosses marking regional reaction coordinates (</w:t>
      </w:r>
      <w:proofErr w:type="spellStart"/>
      <w:r w:rsidRPr="00D35C2A">
        <w:rPr>
          <w:i/>
          <w:sz w:val="18"/>
          <w:szCs w:val="18"/>
          <w:lang w:bidi="en-US"/>
        </w:rPr>
        <w:t>q</w:t>
      </w:r>
      <w:r w:rsidRPr="00D35C2A">
        <w:rPr>
          <w:i/>
          <w:sz w:val="18"/>
          <w:szCs w:val="18"/>
          <w:vertAlign w:val="subscript"/>
          <w:lang w:bidi="en-US"/>
        </w:rPr>
        <w:t>x</w:t>
      </w:r>
      <w:proofErr w:type="spellEnd"/>
      <w:r>
        <w:rPr>
          <w:sz w:val="18"/>
          <w:szCs w:val="18"/>
          <w:lang w:bidi="en-US"/>
        </w:rPr>
        <w:t xml:space="preserve">, </w:t>
      </w:r>
      <w:proofErr w:type="spellStart"/>
      <w:r w:rsidRPr="00D35C2A">
        <w:rPr>
          <w:i/>
          <w:sz w:val="18"/>
          <w:szCs w:val="18"/>
          <w:lang w:bidi="en-US"/>
        </w:rPr>
        <w:t>W</w:t>
      </w:r>
      <w:r w:rsidRPr="00D35C2A">
        <w:rPr>
          <w:i/>
          <w:sz w:val="18"/>
          <w:szCs w:val="18"/>
          <w:vertAlign w:val="subscript"/>
          <w:lang w:bidi="en-US"/>
        </w:rPr>
        <w:t>x</w:t>
      </w:r>
      <w:proofErr w:type="spellEnd"/>
      <w:r>
        <w:rPr>
          <w:sz w:val="18"/>
          <w:szCs w:val="18"/>
          <w:lang w:bidi="en-US"/>
        </w:rPr>
        <w:t xml:space="preserve">), which are superimposed onto </w:t>
      </w:r>
      <w:proofErr w:type="gramStart"/>
      <w:r w:rsidRPr="0050674F">
        <w:rPr>
          <w:i/>
          <w:sz w:val="18"/>
          <w:szCs w:val="18"/>
          <w:lang w:bidi="en-US"/>
        </w:rPr>
        <w:t>W</w:t>
      </w:r>
      <w:r>
        <w:rPr>
          <w:sz w:val="18"/>
          <w:szCs w:val="18"/>
          <w:lang w:bidi="en-US"/>
        </w:rPr>
        <w:t>(</w:t>
      </w:r>
      <w:proofErr w:type="gramEnd"/>
      <w:r w:rsidRPr="0050674F">
        <w:rPr>
          <w:i/>
          <w:sz w:val="18"/>
          <w:szCs w:val="18"/>
          <w:lang w:bidi="en-US"/>
        </w:rPr>
        <w:t>q</w:t>
      </w:r>
      <w:r>
        <w:rPr>
          <w:sz w:val="18"/>
          <w:szCs w:val="18"/>
          <w:lang w:bidi="en-US"/>
        </w:rPr>
        <w:t>) (red curve). Note the small displacements of (</w:t>
      </w:r>
      <w:r w:rsidRPr="00032EA1">
        <w:rPr>
          <w:i/>
          <w:sz w:val="18"/>
          <w:szCs w:val="18"/>
          <w:lang w:bidi="en-US"/>
        </w:rPr>
        <w:t>q</w:t>
      </w:r>
      <w:r>
        <w:rPr>
          <w:sz w:val="18"/>
          <w:szCs w:val="18"/>
          <w:lang w:bidi="en-US"/>
        </w:rPr>
        <w:t xml:space="preserve">, </w:t>
      </w:r>
      <w:r w:rsidRPr="00032EA1">
        <w:rPr>
          <w:i/>
          <w:sz w:val="18"/>
          <w:szCs w:val="18"/>
          <w:lang w:bidi="en-US"/>
        </w:rPr>
        <w:t>W</w:t>
      </w:r>
      <w:r>
        <w:rPr>
          <w:sz w:val="18"/>
          <w:szCs w:val="18"/>
          <w:lang w:bidi="en-US"/>
        </w:rPr>
        <w:t xml:space="preserve">) coordinates from their corresponding </w:t>
      </w:r>
      <w:proofErr w:type="gramStart"/>
      <w:r w:rsidRPr="00FA2AE6">
        <w:rPr>
          <w:i/>
          <w:sz w:val="18"/>
          <w:szCs w:val="18"/>
          <w:lang w:bidi="en-US"/>
        </w:rPr>
        <w:t>W</w:t>
      </w:r>
      <w:r>
        <w:rPr>
          <w:sz w:val="18"/>
          <w:szCs w:val="18"/>
          <w:lang w:bidi="en-US"/>
        </w:rPr>
        <w:t>(</w:t>
      </w:r>
      <w:proofErr w:type="gramEnd"/>
      <w:r w:rsidRPr="00032EA1">
        <w:rPr>
          <w:i/>
          <w:sz w:val="18"/>
          <w:szCs w:val="18"/>
          <w:lang w:bidi="en-US"/>
        </w:rPr>
        <w:t>q</w:t>
      </w:r>
      <w:r>
        <w:rPr>
          <w:sz w:val="18"/>
          <w:szCs w:val="18"/>
          <w:lang w:bidi="en-US"/>
        </w:rPr>
        <w:t>) extrema. Segmental equilibrium probability distributions are colored gray (</w:t>
      </w:r>
      <w:r w:rsidRPr="00ED281D">
        <w:rPr>
          <w:i/>
          <w:sz w:val="18"/>
          <w:szCs w:val="18"/>
          <w:lang w:bidi="en-US"/>
        </w:rPr>
        <w:t>x</w:t>
      </w:r>
      <w:r>
        <w:rPr>
          <w:sz w:val="18"/>
          <w:szCs w:val="18"/>
          <w:lang w:bidi="en-US"/>
        </w:rPr>
        <w:t xml:space="preserve"> = R, P: solid curves; </w:t>
      </w:r>
      <w:r w:rsidRPr="00ED281D">
        <w:rPr>
          <w:i/>
          <w:sz w:val="18"/>
          <w:szCs w:val="18"/>
          <w:lang w:bidi="en-US"/>
        </w:rPr>
        <w:t>x</w:t>
      </w:r>
      <w:r>
        <w:rPr>
          <w:sz w:val="18"/>
          <w:szCs w:val="18"/>
          <w:lang w:bidi="en-US"/>
        </w:rPr>
        <w:t xml:space="preserve"> = b: dashed curve). (b) Temperature dependence of reaction energies. (c) Temperature dependence of reaction charge.</w:t>
      </w:r>
    </w:p>
    <w:p w:rsidR="0069424B" w:rsidRDefault="0069424B" w:rsidP="00434693">
      <w:pPr>
        <w:pStyle w:val="NormalWeb"/>
        <w:shd w:val="clear" w:color="auto" w:fill="FFFFFF"/>
        <w:spacing w:after="120" w:line="480" w:lineRule="auto"/>
        <w:ind w:firstLine="567"/>
        <w:jc w:val="both"/>
        <w:rPr>
          <w:sz w:val="20"/>
          <w:szCs w:val="20"/>
          <w:lang w:bidi="en-US"/>
        </w:rPr>
      </w:pPr>
      <w:r>
        <w:rPr>
          <w:sz w:val="20"/>
          <w:szCs w:val="20"/>
          <w:lang w:bidi="en-US"/>
        </w:rPr>
        <w:t xml:space="preserve">We should note that in the Ising model the diffusion coefficient </w:t>
      </w:r>
      <w:proofErr w:type="gramStart"/>
      <w:r w:rsidRPr="000B531F">
        <w:rPr>
          <w:i/>
          <w:sz w:val="20"/>
          <w:szCs w:val="20"/>
          <w:lang w:bidi="en-US"/>
        </w:rPr>
        <w:t>D</w:t>
      </w:r>
      <w:r>
        <w:rPr>
          <w:sz w:val="20"/>
          <w:szCs w:val="20"/>
          <w:lang w:bidi="en-US"/>
        </w:rPr>
        <w:t>(</w:t>
      </w:r>
      <w:proofErr w:type="gramEnd"/>
      <w:r w:rsidRPr="001E7C3B">
        <w:rPr>
          <w:i/>
          <w:sz w:val="20"/>
          <w:szCs w:val="20"/>
          <w:lang w:bidi="en-US"/>
        </w:rPr>
        <w:t>q</w:t>
      </w:r>
      <w:r>
        <w:rPr>
          <w:sz w:val="20"/>
          <w:szCs w:val="20"/>
          <w:lang w:bidi="en-US"/>
        </w:rPr>
        <w:t>) is nearly constant across the barrier region (Fig</w:t>
      </w:r>
      <w:r w:rsidR="00B46DAE">
        <w:rPr>
          <w:sz w:val="20"/>
          <w:szCs w:val="20"/>
          <w:lang w:bidi="en-US"/>
        </w:rPr>
        <w:t>s</w:t>
      </w:r>
      <w:r>
        <w:rPr>
          <w:sz w:val="20"/>
          <w:szCs w:val="20"/>
          <w:lang w:bidi="en-US"/>
        </w:rPr>
        <w:t>. 8</w:t>
      </w:r>
      <w:r w:rsidR="00B46DAE">
        <w:rPr>
          <w:sz w:val="20"/>
          <w:szCs w:val="20"/>
          <w:lang w:bidi="en-US"/>
        </w:rPr>
        <w:t xml:space="preserve"> and 15</w:t>
      </w:r>
      <w:r w:rsidR="00434693">
        <w:rPr>
          <w:sz w:val="20"/>
          <w:szCs w:val="20"/>
          <w:lang w:bidi="en-US"/>
        </w:rPr>
        <w:t>, main text</w:t>
      </w:r>
      <w:r>
        <w:rPr>
          <w:sz w:val="20"/>
          <w:szCs w:val="20"/>
          <w:lang w:bidi="en-US"/>
        </w:rPr>
        <w:t xml:space="preserve">). A model in which </w:t>
      </w:r>
      <w:r w:rsidRPr="000B531F">
        <w:rPr>
          <w:i/>
          <w:sz w:val="20"/>
          <w:szCs w:val="20"/>
          <w:lang w:bidi="en-US"/>
        </w:rPr>
        <w:t>D</w:t>
      </w:r>
      <w:r>
        <w:rPr>
          <w:sz w:val="20"/>
          <w:szCs w:val="20"/>
          <w:lang w:bidi="en-US"/>
        </w:rPr>
        <w:t xml:space="preserve"> varies strongly across the barrier region would add a “spurious drift” </w:t>
      </w:r>
      <w:r w:rsidRPr="00323186">
        <w:rPr>
          <w:sz w:val="20"/>
          <w:szCs w:val="20"/>
          <w:lang w:bidi="en-US"/>
        </w:rPr>
        <w:t xml:space="preserve">term </w:t>
      </w:r>
      <w:r w:rsidRPr="00323186">
        <w:rPr>
          <w:rFonts w:ascii="Symbol" w:hAnsi="Symbol"/>
          <w:sz w:val="20"/>
          <w:szCs w:val="20"/>
          <w:lang w:bidi="en-US"/>
        </w:rPr>
        <w:t></w:t>
      </w:r>
      <w:proofErr w:type="spellStart"/>
      <w:r w:rsidRPr="00323186">
        <w:rPr>
          <w:i/>
          <w:sz w:val="20"/>
          <w:szCs w:val="20"/>
          <w:lang w:bidi="en-US"/>
        </w:rPr>
        <w:t>kT</w:t>
      </w:r>
      <w:r w:rsidRPr="00323186">
        <w:rPr>
          <w:sz w:val="20"/>
          <w:szCs w:val="20"/>
          <w:lang w:bidi="en-US"/>
        </w:rPr>
        <w:t>ln</w:t>
      </w:r>
      <w:proofErr w:type="spellEnd"/>
      <w:r w:rsidRPr="00323186">
        <w:rPr>
          <w:sz w:val="20"/>
          <w:szCs w:val="20"/>
          <w:lang w:bidi="en-US"/>
        </w:rPr>
        <w:t>(</w:t>
      </w:r>
      <w:r w:rsidRPr="00323186">
        <w:rPr>
          <w:i/>
          <w:sz w:val="20"/>
          <w:szCs w:val="20"/>
          <w:lang w:bidi="en-US"/>
        </w:rPr>
        <w:t>D</w:t>
      </w:r>
      <w:r w:rsidRPr="00323186">
        <w:rPr>
          <w:sz w:val="20"/>
          <w:szCs w:val="20"/>
          <w:lang w:bidi="en-US"/>
        </w:rPr>
        <w:t>/</w:t>
      </w:r>
      <w:r w:rsidRPr="00323186">
        <w:rPr>
          <w:i/>
          <w:sz w:val="20"/>
          <w:szCs w:val="20"/>
          <w:lang w:bidi="en-US"/>
        </w:rPr>
        <w:t>D</w:t>
      </w:r>
      <w:r w:rsidRPr="00323186">
        <w:rPr>
          <w:sz w:val="20"/>
          <w:szCs w:val="20"/>
          <w:vertAlign w:val="subscript"/>
          <w:lang w:bidi="en-US"/>
        </w:rPr>
        <w:t>1</w:t>
      </w:r>
      <w:r w:rsidRPr="00323186">
        <w:rPr>
          <w:sz w:val="20"/>
          <w:szCs w:val="20"/>
          <w:lang w:bidi="en-US"/>
        </w:rPr>
        <w:t>) to</w:t>
      </w:r>
      <w:r>
        <w:rPr>
          <w:sz w:val="20"/>
          <w:szCs w:val="20"/>
          <w:lang w:bidi="en-US"/>
        </w:rPr>
        <w:t xml:space="preserve"> the exponent of </w:t>
      </w:r>
      <w:r w:rsidRPr="00323186">
        <w:rPr>
          <w:i/>
          <w:sz w:val="20"/>
          <w:szCs w:val="20"/>
          <w:lang w:bidi="en-US"/>
        </w:rPr>
        <w:t>Z</w:t>
      </w:r>
      <w:r w:rsidRPr="00323186">
        <w:rPr>
          <w:i/>
          <w:sz w:val="20"/>
          <w:szCs w:val="20"/>
          <w:vertAlign w:val="subscript"/>
          <w:lang w:bidi="en-US"/>
        </w:rPr>
        <w:t>b</w:t>
      </w:r>
      <w:r>
        <w:rPr>
          <w:sz w:val="20"/>
          <w:szCs w:val="20"/>
          <w:lang w:bidi="en-US"/>
        </w:rPr>
        <w:fldChar w:fldCharType="begin" w:fldLock="1"/>
      </w:r>
      <w:r w:rsidR="00DA1785">
        <w:rPr>
          <w:sz w:val="20"/>
          <w:szCs w:val="20"/>
          <w:lang w:bidi="en-US"/>
        </w:rPr>
        <w:instrText>ADDIN CSL_CITATION {"citationItems":[{"id":"ITEM-1","itemData":{"DOI":"http://dx.doi.org/10.1016/B978-1-85617-567-8.50004-4","ISBN":"0444893490","abstract":"3rd ed. Previous edition: Amsterdam: North-Holland, 1992. The third edition of Van Kampen's standard work has been revised and updated. The main difference with the second edition is that the contrived application of the quantum master equation in section 6 of chapter XVII has been replaced with a satisfactory treatment of quantum fluctuations. Apart from that throughout the text corrections have been made and a number of references to later developments have been included. From the recent textbooks the following are the most relevant. C.W. Gardiner, Quantum Optics (Springer, Berlin 1991) D.T. Gillespie, Markov Processes (Academic Press, San Diego 1992) W.T. Coffey, Yu. P. Kalmykov, and J.T. Waldron, The Langevin Equation (2nd edition, World Scientific, 2004) * Comprehensive coverage of fluctuations and stochastic methods for describing them * A must for students and researchers in applied mathematics, physics and physical chemistry. Preface to the first edition -- Preface to the second edition -- Preface to the second edition -- Abbreviated references -- I. Stochastic variables -- II. Random events -- III. Stochastic processes -- IV. Markov processes -- V. The master equation -- VI. One-step processes -- VII. Chemical reactions -- VIII. The Fokker-Planck equation -- IX. The Langevin approach -- X. The expansion of the master equation -- XI. The diffusion type -- XII. First-passage problems -- XIII. Unstable systems -- XIV. Fluctuations in continuous systems -- XV. The statistics of jump events -- XVI. Stochastic differential equations -- XVII. Stochastic behavior of quantum systems -- Subject Index.","author":[{"dropping-particle":"","family":"Kampen","given":"N.G.","non-dropping-particle":"Van","parse-names":false,"suffix":""}],"edition":"2","id":"ITEM-1","issued":{"date-parts":[["1992"]]},"publisher":"North-Holland Personal Library","publisher-place":"Amsterdam","title":"Stochastic Processes in Physics and Chemistry","type":"book"},"uris":["http://www.mendeley.com/documents/?uuid=913bd668-0afd-4e5b-82a3-58a824148bde"]},{"id":"ITEM-2","itemData":{"DOI":"10.1063/1.4775807","ISSN":"0021-9606","abstract":"We propose a method for identifying accurate reaction coordinates among a set of trial coordinates. The method applies to special cases where motion along the reaction coordinate follows a one-dime...","author":[{"dropping-particle":"","family":"Peters","given":"Baron","non-dropping-particle":"","parse-names":false,"suffix":""},{"dropping-particle":"","family":"Bolhuis","given":"Peter G.","non-dropping-particle":"","parse-names":false,"suffix":""},{"dropping-particle":"","family":"Mullen","given":"Ryan G.","non-dropping-particle":"","parse-names":false,"suffix":""},{"dropping-particle":"","family":"Shea","given":"Joan-Emma","non-dropping-particle":"","parse-names":false,"suffix":""}],"container-title":"The Journal of Chemical Physics","id":"ITEM-2","issue":"5","issued":{"date-parts":[["2013","2","7"]]},"page":"054106","publisher":"American Institute of Physics","title":"Reaction coordinates, one-dimensional Smoluchowski equations, and a test for dynamical self-consistency","type":"article-journal","volume":"138"},"uris":["http://www.mendeley.com/documents/?uuid=f72dc5ec-e66e-32e8-9c25-eb3c99c2419d"]}],"mendeley":{"formattedCitation":"&lt;sup&gt;8,9&lt;/sup&gt;","plainTextFormattedCitation":"8,9","previouslyFormattedCitation":"&lt;sup&gt;6,7&lt;/sup&gt;"},"properties":{"noteIndex":0},"schema":"https://github.com/citation-style-language/schema/raw/master/csl-citation.json"}</w:instrText>
      </w:r>
      <w:r>
        <w:rPr>
          <w:sz w:val="20"/>
          <w:szCs w:val="20"/>
          <w:lang w:bidi="en-US"/>
        </w:rPr>
        <w:fldChar w:fldCharType="separate"/>
      </w:r>
      <w:r w:rsidR="00DA1785" w:rsidRPr="00DA1785">
        <w:rPr>
          <w:noProof/>
          <w:sz w:val="20"/>
          <w:szCs w:val="20"/>
          <w:vertAlign w:val="superscript"/>
          <w:lang w:bidi="en-US"/>
        </w:rPr>
        <w:t>8,9</w:t>
      </w:r>
      <w:r>
        <w:rPr>
          <w:sz w:val="20"/>
          <w:szCs w:val="20"/>
          <w:lang w:bidi="en-US"/>
        </w:rPr>
        <w:fldChar w:fldCharType="end"/>
      </w:r>
      <w:r>
        <w:rPr>
          <w:sz w:val="20"/>
          <w:szCs w:val="20"/>
          <w:lang w:bidi="en-US"/>
        </w:rPr>
        <w:t xml:space="preserve">. This does not change the equilibrium distribution between stable states, since </w:t>
      </w:r>
      <w:r>
        <w:rPr>
          <w:i/>
          <w:sz w:val="20"/>
          <w:szCs w:val="20"/>
          <w:lang w:bidi="en-US"/>
        </w:rPr>
        <w:t>Z</w:t>
      </w:r>
      <w:r>
        <w:rPr>
          <w:i/>
          <w:sz w:val="20"/>
          <w:szCs w:val="20"/>
          <w:vertAlign w:val="subscript"/>
          <w:lang w:bidi="en-US"/>
        </w:rPr>
        <w:t>R</w:t>
      </w:r>
      <w:r w:rsidRPr="00982B7C">
        <w:rPr>
          <w:sz w:val="20"/>
          <w:szCs w:val="20"/>
          <w:lang w:bidi="en-US"/>
        </w:rPr>
        <w:t xml:space="preserve"> </w:t>
      </w:r>
      <w:r>
        <w:rPr>
          <w:sz w:val="20"/>
          <w:szCs w:val="20"/>
          <w:lang w:bidi="en-US"/>
        </w:rPr>
        <w:t xml:space="preserve">and </w:t>
      </w:r>
      <w:r>
        <w:rPr>
          <w:i/>
          <w:sz w:val="20"/>
          <w:szCs w:val="20"/>
          <w:lang w:bidi="en-US"/>
        </w:rPr>
        <w:t>Z</w:t>
      </w:r>
      <w:r>
        <w:rPr>
          <w:i/>
          <w:sz w:val="20"/>
          <w:szCs w:val="20"/>
          <w:vertAlign w:val="subscript"/>
          <w:lang w:bidi="en-US"/>
        </w:rPr>
        <w:t>P</w:t>
      </w:r>
      <w:r w:rsidRPr="00982B7C">
        <w:rPr>
          <w:sz w:val="20"/>
          <w:szCs w:val="20"/>
          <w:lang w:bidi="en-US"/>
        </w:rPr>
        <w:t xml:space="preserve"> </w:t>
      </w:r>
      <w:r w:rsidR="00434693">
        <w:rPr>
          <w:sz w:val="20"/>
          <w:szCs w:val="20"/>
          <w:lang w:bidi="en-US"/>
        </w:rPr>
        <w:t>are unaffected.</w:t>
      </w:r>
    </w:p>
    <w:p w:rsidR="0075172C" w:rsidRDefault="0075172C" w:rsidP="0075172C">
      <w:pPr>
        <w:pStyle w:val="NormalWeb"/>
        <w:shd w:val="clear" w:color="auto" w:fill="FFFFFF"/>
        <w:spacing w:after="120" w:line="480" w:lineRule="auto"/>
        <w:jc w:val="both"/>
        <w:rPr>
          <w:b/>
          <w:sz w:val="20"/>
          <w:szCs w:val="20"/>
          <w:lang w:bidi="en-US"/>
        </w:rPr>
      </w:pPr>
      <w:r w:rsidRPr="00366132">
        <w:rPr>
          <w:b/>
          <w:sz w:val="20"/>
          <w:szCs w:val="20"/>
          <w:lang w:bidi="en-US"/>
        </w:rPr>
        <w:t>REFERENCES</w:t>
      </w:r>
    </w:p>
    <w:p w:rsidR="00DA1785" w:rsidRPr="00DA1785" w:rsidRDefault="007A7322" w:rsidP="00DA1785">
      <w:pPr>
        <w:widowControl w:val="0"/>
        <w:autoSpaceDE w:val="0"/>
        <w:autoSpaceDN w:val="0"/>
        <w:adjustRightInd w:val="0"/>
        <w:spacing w:before="100" w:after="120" w:line="480" w:lineRule="auto"/>
        <w:rPr>
          <w:rFonts w:ascii="Times New Roman" w:hAnsi="Times New Roman" w:cs="Times New Roman"/>
          <w:noProof/>
          <w:sz w:val="24"/>
          <w:szCs w:val="24"/>
        </w:rPr>
      </w:pPr>
      <w:r>
        <w:rPr>
          <w:b/>
          <w:noProof/>
        </w:rPr>
        <w:fldChar w:fldCharType="begin" w:fldLock="1"/>
      </w:r>
      <w:r>
        <w:rPr>
          <w:b/>
          <w:noProof/>
        </w:rPr>
        <w:instrText xml:space="preserve">ADDIN Mendeley Bibliography CSL_BIBLIOGRAPHY </w:instrText>
      </w:r>
      <w:r>
        <w:rPr>
          <w:b/>
          <w:noProof/>
        </w:rPr>
        <w:fldChar w:fldCharType="separate"/>
      </w:r>
      <w:r w:rsidR="00DA1785" w:rsidRPr="00DA1785">
        <w:rPr>
          <w:rFonts w:ascii="Times New Roman" w:hAnsi="Times New Roman" w:cs="Times New Roman"/>
          <w:noProof/>
          <w:sz w:val="24"/>
          <w:szCs w:val="24"/>
          <w:vertAlign w:val="superscript"/>
        </w:rPr>
        <w:t>1</w:t>
      </w:r>
      <w:r w:rsidR="00DA1785" w:rsidRPr="00DA1785">
        <w:rPr>
          <w:rFonts w:ascii="Times New Roman" w:hAnsi="Times New Roman" w:cs="Times New Roman"/>
          <w:noProof/>
          <w:sz w:val="24"/>
          <w:szCs w:val="24"/>
        </w:rPr>
        <w:t xml:space="preserve"> P.D. Coddington, Int. J. Mod. Phys. C </w:t>
      </w:r>
      <w:r w:rsidR="00DA1785" w:rsidRPr="00DA1785">
        <w:rPr>
          <w:rFonts w:ascii="Times New Roman" w:hAnsi="Times New Roman" w:cs="Times New Roman"/>
          <w:b/>
          <w:bCs/>
          <w:noProof/>
          <w:sz w:val="24"/>
          <w:szCs w:val="24"/>
        </w:rPr>
        <w:t>05</w:t>
      </w:r>
      <w:r w:rsidR="00DA1785" w:rsidRPr="00DA1785">
        <w:rPr>
          <w:rFonts w:ascii="Times New Roman" w:hAnsi="Times New Roman" w:cs="Times New Roman"/>
          <w:noProof/>
          <w:sz w:val="24"/>
          <w:szCs w:val="24"/>
        </w:rPr>
        <w:t>, 547 (1994).</w:t>
      </w:r>
    </w:p>
    <w:p w:rsidR="00DA1785" w:rsidRPr="00DA1785" w:rsidRDefault="00DA1785" w:rsidP="00DA1785">
      <w:pPr>
        <w:widowControl w:val="0"/>
        <w:autoSpaceDE w:val="0"/>
        <w:autoSpaceDN w:val="0"/>
        <w:adjustRightInd w:val="0"/>
        <w:spacing w:before="100" w:after="120" w:line="480" w:lineRule="auto"/>
        <w:rPr>
          <w:rFonts w:ascii="Times New Roman" w:hAnsi="Times New Roman" w:cs="Times New Roman"/>
          <w:noProof/>
          <w:sz w:val="24"/>
          <w:szCs w:val="24"/>
        </w:rPr>
      </w:pPr>
      <w:r w:rsidRPr="00DA1785">
        <w:rPr>
          <w:rFonts w:ascii="Times New Roman" w:hAnsi="Times New Roman" w:cs="Times New Roman"/>
          <w:noProof/>
          <w:sz w:val="24"/>
          <w:szCs w:val="24"/>
          <w:vertAlign w:val="superscript"/>
        </w:rPr>
        <w:t>2</w:t>
      </w:r>
      <w:r w:rsidRPr="00DA1785">
        <w:rPr>
          <w:rFonts w:ascii="Times New Roman" w:hAnsi="Times New Roman" w:cs="Times New Roman"/>
          <w:noProof/>
          <w:sz w:val="24"/>
          <w:szCs w:val="24"/>
        </w:rPr>
        <w:t xml:space="preserve"> A.M. Ferrenberg, D.P. Landau, and Y.J. Wong, Phys. Rev. Lett. </w:t>
      </w:r>
      <w:r w:rsidRPr="00DA1785">
        <w:rPr>
          <w:rFonts w:ascii="Times New Roman" w:hAnsi="Times New Roman" w:cs="Times New Roman"/>
          <w:b/>
          <w:bCs/>
          <w:noProof/>
          <w:sz w:val="24"/>
          <w:szCs w:val="24"/>
        </w:rPr>
        <w:t>69</w:t>
      </w:r>
      <w:r w:rsidRPr="00DA1785">
        <w:rPr>
          <w:rFonts w:ascii="Times New Roman" w:hAnsi="Times New Roman" w:cs="Times New Roman"/>
          <w:noProof/>
          <w:sz w:val="24"/>
          <w:szCs w:val="24"/>
        </w:rPr>
        <w:t>, 3382 (1992).</w:t>
      </w:r>
    </w:p>
    <w:p w:rsidR="00DA1785" w:rsidRPr="00DA1785" w:rsidRDefault="00DA1785" w:rsidP="00DA1785">
      <w:pPr>
        <w:widowControl w:val="0"/>
        <w:autoSpaceDE w:val="0"/>
        <w:autoSpaceDN w:val="0"/>
        <w:adjustRightInd w:val="0"/>
        <w:spacing w:before="100" w:after="120" w:line="480" w:lineRule="auto"/>
        <w:rPr>
          <w:rFonts w:ascii="Times New Roman" w:hAnsi="Times New Roman" w:cs="Times New Roman"/>
          <w:noProof/>
          <w:sz w:val="24"/>
          <w:szCs w:val="24"/>
        </w:rPr>
      </w:pPr>
      <w:r w:rsidRPr="00DA1785">
        <w:rPr>
          <w:rFonts w:ascii="Times New Roman" w:hAnsi="Times New Roman" w:cs="Times New Roman"/>
          <w:noProof/>
          <w:sz w:val="24"/>
          <w:szCs w:val="24"/>
          <w:vertAlign w:val="superscript"/>
        </w:rPr>
        <w:lastRenderedPageBreak/>
        <w:t>3</w:t>
      </w:r>
      <w:r w:rsidRPr="00DA1785">
        <w:rPr>
          <w:rFonts w:ascii="Times New Roman" w:hAnsi="Times New Roman" w:cs="Times New Roman"/>
          <w:noProof/>
          <w:sz w:val="24"/>
          <w:szCs w:val="24"/>
        </w:rPr>
        <w:t xml:space="preserve"> W. Press, S. Teukolsky, W. Vetterling, B. Flannery, E. Ziegel, W. Press, B. Flannery, S. Teukolsky, and W. Vetterling, </w:t>
      </w:r>
      <w:r w:rsidRPr="00DA1785">
        <w:rPr>
          <w:rFonts w:ascii="Times New Roman" w:hAnsi="Times New Roman" w:cs="Times New Roman"/>
          <w:i/>
          <w:iCs/>
          <w:noProof/>
          <w:sz w:val="24"/>
          <w:szCs w:val="24"/>
        </w:rPr>
        <w:t>Numerical Recipes in C</w:t>
      </w:r>
      <w:r w:rsidRPr="00DA1785">
        <w:rPr>
          <w:rFonts w:ascii="Times New Roman" w:hAnsi="Times New Roman" w:cs="Times New Roman"/>
          <w:noProof/>
          <w:sz w:val="24"/>
          <w:szCs w:val="24"/>
        </w:rPr>
        <w:t>, 2nd ed. (Cambridge University Press, New York, 1992).</w:t>
      </w:r>
    </w:p>
    <w:p w:rsidR="00DA1785" w:rsidRPr="00DA1785" w:rsidRDefault="00DA1785" w:rsidP="00DA1785">
      <w:pPr>
        <w:widowControl w:val="0"/>
        <w:autoSpaceDE w:val="0"/>
        <w:autoSpaceDN w:val="0"/>
        <w:adjustRightInd w:val="0"/>
        <w:spacing w:before="100" w:after="120" w:line="480" w:lineRule="auto"/>
        <w:rPr>
          <w:rFonts w:ascii="Times New Roman" w:hAnsi="Times New Roman" w:cs="Times New Roman"/>
          <w:noProof/>
          <w:sz w:val="24"/>
          <w:szCs w:val="24"/>
        </w:rPr>
      </w:pPr>
      <w:r w:rsidRPr="00DA1785">
        <w:rPr>
          <w:rFonts w:ascii="Times New Roman" w:hAnsi="Times New Roman" w:cs="Times New Roman"/>
          <w:noProof/>
          <w:sz w:val="24"/>
          <w:szCs w:val="24"/>
          <w:vertAlign w:val="superscript"/>
        </w:rPr>
        <w:t>4</w:t>
      </w:r>
      <w:r w:rsidRPr="00DA1785">
        <w:rPr>
          <w:rFonts w:ascii="Times New Roman" w:hAnsi="Times New Roman" w:cs="Times New Roman"/>
          <w:noProof/>
          <w:sz w:val="24"/>
          <w:szCs w:val="24"/>
        </w:rPr>
        <w:t xml:space="preserve"> M. Saito and M. Matsumoto, in </w:t>
      </w:r>
      <w:r w:rsidRPr="00DA1785">
        <w:rPr>
          <w:rFonts w:ascii="Times New Roman" w:hAnsi="Times New Roman" w:cs="Times New Roman"/>
          <w:i/>
          <w:iCs/>
          <w:noProof/>
          <w:sz w:val="24"/>
          <w:szCs w:val="24"/>
        </w:rPr>
        <w:t>Monte Carlo Quasi-Monte Carlo Methods 2006</w:t>
      </w:r>
      <w:r w:rsidRPr="00DA1785">
        <w:rPr>
          <w:rFonts w:ascii="Times New Roman" w:hAnsi="Times New Roman" w:cs="Times New Roman"/>
          <w:noProof/>
          <w:sz w:val="24"/>
          <w:szCs w:val="24"/>
        </w:rPr>
        <w:t xml:space="preserve"> (Springer-Verlag, Berlin, Heidelberg, 2008), pp. 607–622.</w:t>
      </w:r>
    </w:p>
    <w:p w:rsidR="00DA1785" w:rsidRPr="00DA1785" w:rsidRDefault="00DA1785" w:rsidP="00DA1785">
      <w:pPr>
        <w:widowControl w:val="0"/>
        <w:autoSpaceDE w:val="0"/>
        <w:autoSpaceDN w:val="0"/>
        <w:adjustRightInd w:val="0"/>
        <w:spacing w:before="100" w:after="120" w:line="480" w:lineRule="auto"/>
        <w:rPr>
          <w:rFonts w:ascii="Times New Roman" w:hAnsi="Times New Roman" w:cs="Times New Roman"/>
          <w:noProof/>
          <w:sz w:val="24"/>
          <w:szCs w:val="24"/>
        </w:rPr>
      </w:pPr>
      <w:r w:rsidRPr="00DA1785">
        <w:rPr>
          <w:rFonts w:ascii="Times New Roman" w:hAnsi="Times New Roman" w:cs="Times New Roman"/>
          <w:noProof/>
          <w:sz w:val="24"/>
          <w:szCs w:val="24"/>
          <w:vertAlign w:val="superscript"/>
        </w:rPr>
        <w:t>5</w:t>
      </w:r>
      <w:r w:rsidRPr="00DA1785">
        <w:rPr>
          <w:rFonts w:ascii="Times New Roman" w:hAnsi="Times New Roman" w:cs="Times New Roman"/>
          <w:noProof/>
          <w:sz w:val="24"/>
          <w:szCs w:val="24"/>
        </w:rPr>
        <w:t xml:space="preserve"> P. L’Ecuyer, Math. Comput. </w:t>
      </w:r>
      <w:r w:rsidRPr="00DA1785">
        <w:rPr>
          <w:rFonts w:ascii="Times New Roman" w:hAnsi="Times New Roman" w:cs="Times New Roman"/>
          <w:b/>
          <w:bCs/>
          <w:noProof/>
          <w:sz w:val="24"/>
          <w:szCs w:val="24"/>
        </w:rPr>
        <w:t>68</w:t>
      </w:r>
      <w:r w:rsidRPr="00DA1785">
        <w:rPr>
          <w:rFonts w:ascii="Times New Roman" w:hAnsi="Times New Roman" w:cs="Times New Roman"/>
          <w:noProof/>
          <w:sz w:val="24"/>
          <w:szCs w:val="24"/>
        </w:rPr>
        <w:t>, 249 (1999).</w:t>
      </w:r>
    </w:p>
    <w:p w:rsidR="00DA1785" w:rsidRPr="00DA1785" w:rsidRDefault="00DA1785" w:rsidP="00DA1785">
      <w:pPr>
        <w:widowControl w:val="0"/>
        <w:autoSpaceDE w:val="0"/>
        <w:autoSpaceDN w:val="0"/>
        <w:adjustRightInd w:val="0"/>
        <w:spacing w:before="100" w:after="120" w:line="480" w:lineRule="auto"/>
        <w:rPr>
          <w:rFonts w:ascii="Times New Roman" w:hAnsi="Times New Roman" w:cs="Times New Roman"/>
          <w:noProof/>
          <w:sz w:val="24"/>
          <w:szCs w:val="24"/>
        </w:rPr>
      </w:pPr>
      <w:r w:rsidRPr="00DA1785">
        <w:rPr>
          <w:rFonts w:ascii="Times New Roman" w:hAnsi="Times New Roman" w:cs="Times New Roman"/>
          <w:noProof/>
          <w:sz w:val="24"/>
          <w:szCs w:val="24"/>
          <w:vertAlign w:val="superscript"/>
        </w:rPr>
        <w:t>6</w:t>
      </w:r>
      <w:r w:rsidRPr="00DA1785">
        <w:rPr>
          <w:rFonts w:ascii="Times New Roman" w:hAnsi="Times New Roman" w:cs="Times New Roman"/>
          <w:noProof/>
          <w:sz w:val="24"/>
          <w:szCs w:val="24"/>
        </w:rPr>
        <w:t xml:space="preserve"> P. L’Ecuyer, Oper. Res. </w:t>
      </w:r>
      <w:r w:rsidRPr="00DA1785">
        <w:rPr>
          <w:rFonts w:ascii="Times New Roman" w:hAnsi="Times New Roman" w:cs="Times New Roman"/>
          <w:b/>
          <w:bCs/>
          <w:noProof/>
          <w:sz w:val="24"/>
          <w:szCs w:val="24"/>
        </w:rPr>
        <w:t>47</w:t>
      </w:r>
      <w:r w:rsidRPr="00DA1785">
        <w:rPr>
          <w:rFonts w:ascii="Times New Roman" w:hAnsi="Times New Roman" w:cs="Times New Roman"/>
          <w:noProof/>
          <w:sz w:val="24"/>
          <w:szCs w:val="24"/>
        </w:rPr>
        <w:t>, 159 (1999).</w:t>
      </w:r>
    </w:p>
    <w:p w:rsidR="00DA1785" w:rsidRPr="00DA1785" w:rsidRDefault="00DA1785" w:rsidP="00DA1785">
      <w:pPr>
        <w:widowControl w:val="0"/>
        <w:autoSpaceDE w:val="0"/>
        <w:autoSpaceDN w:val="0"/>
        <w:adjustRightInd w:val="0"/>
        <w:spacing w:before="100" w:after="120" w:line="480" w:lineRule="auto"/>
        <w:rPr>
          <w:rFonts w:ascii="Times New Roman" w:hAnsi="Times New Roman" w:cs="Times New Roman"/>
          <w:noProof/>
          <w:sz w:val="24"/>
          <w:szCs w:val="24"/>
        </w:rPr>
      </w:pPr>
      <w:r w:rsidRPr="00DA1785">
        <w:rPr>
          <w:rFonts w:ascii="Times New Roman" w:hAnsi="Times New Roman" w:cs="Times New Roman"/>
          <w:noProof/>
          <w:sz w:val="24"/>
          <w:szCs w:val="24"/>
          <w:vertAlign w:val="superscript"/>
        </w:rPr>
        <w:t>7</w:t>
      </w:r>
      <w:r w:rsidRPr="00DA1785">
        <w:rPr>
          <w:rFonts w:ascii="Times New Roman" w:hAnsi="Times New Roman" w:cs="Times New Roman"/>
          <w:noProof/>
          <w:sz w:val="24"/>
          <w:szCs w:val="24"/>
        </w:rPr>
        <w:t xml:space="preserve"> E. Frehland, Biophys. Chem. </w:t>
      </w:r>
      <w:r w:rsidRPr="00DA1785">
        <w:rPr>
          <w:rFonts w:ascii="Times New Roman" w:hAnsi="Times New Roman" w:cs="Times New Roman"/>
          <w:b/>
          <w:bCs/>
          <w:noProof/>
          <w:sz w:val="24"/>
          <w:szCs w:val="24"/>
        </w:rPr>
        <w:t>8</w:t>
      </w:r>
      <w:r w:rsidRPr="00DA1785">
        <w:rPr>
          <w:rFonts w:ascii="Times New Roman" w:hAnsi="Times New Roman" w:cs="Times New Roman"/>
          <w:noProof/>
          <w:sz w:val="24"/>
          <w:szCs w:val="24"/>
        </w:rPr>
        <w:t>, 255 (1978).</w:t>
      </w:r>
    </w:p>
    <w:p w:rsidR="00DA1785" w:rsidRPr="00DA1785" w:rsidRDefault="00DA1785" w:rsidP="00DA1785">
      <w:pPr>
        <w:widowControl w:val="0"/>
        <w:autoSpaceDE w:val="0"/>
        <w:autoSpaceDN w:val="0"/>
        <w:adjustRightInd w:val="0"/>
        <w:spacing w:before="100" w:after="120" w:line="480" w:lineRule="auto"/>
        <w:rPr>
          <w:rFonts w:ascii="Times New Roman" w:hAnsi="Times New Roman" w:cs="Times New Roman"/>
          <w:noProof/>
          <w:sz w:val="24"/>
          <w:szCs w:val="24"/>
        </w:rPr>
      </w:pPr>
      <w:r w:rsidRPr="00DA1785">
        <w:rPr>
          <w:rFonts w:ascii="Times New Roman" w:hAnsi="Times New Roman" w:cs="Times New Roman"/>
          <w:noProof/>
          <w:sz w:val="24"/>
          <w:szCs w:val="24"/>
          <w:vertAlign w:val="superscript"/>
        </w:rPr>
        <w:t>8</w:t>
      </w:r>
      <w:r w:rsidRPr="00DA1785">
        <w:rPr>
          <w:rFonts w:ascii="Times New Roman" w:hAnsi="Times New Roman" w:cs="Times New Roman"/>
          <w:noProof/>
          <w:sz w:val="24"/>
          <w:szCs w:val="24"/>
        </w:rPr>
        <w:t xml:space="preserve"> N.G. Van Kampen, </w:t>
      </w:r>
      <w:r w:rsidRPr="00DA1785">
        <w:rPr>
          <w:rFonts w:ascii="Times New Roman" w:hAnsi="Times New Roman" w:cs="Times New Roman"/>
          <w:i/>
          <w:iCs/>
          <w:noProof/>
          <w:sz w:val="24"/>
          <w:szCs w:val="24"/>
        </w:rPr>
        <w:t>Stochastic Processes in Physics and Chemistry</w:t>
      </w:r>
      <w:r w:rsidRPr="00DA1785">
        <w:rPr>
          <w:rFonts w:ascii="Times New Roman" w:hAnsi="Times New Roman" w:cs="Times New Roman"/>
          <w:noProof/>
          <w:sz w:val="24"/>
          <w:szCs w:val="24"/>
        </w:rPr>
        <w:t>, 2nd ed. (North-Holland Personal Library, Amsterdam, 1992).</w:t>
      </w:r>
    </w:p>
    <w:p w:rsidR="00DA1785" w:rsidRPr="00DA1785" w:rsidRDefault="00DA1785" w:rsidP="00DA1785">
      <w:pPr>
        <w:widowControl w:val="0"/>
        <w:autoSpaceDE w:val="0"/>
        <w:autoSpaceDN w:val="0"/>
        <w:adjustRightInd w:val="0"/>
        <w:spacing w:before="100" w:after="120" w:line="480" w:lineRule="auto"/>
        <w:rPr>
          <w:rFonts w:ascii="Times New Roman" w:hAnsi="Times New Roman" w:cs="Times New Roman"/>
          <w:noProof/>
          <w:sz w:val="24"/>
        </w:rPr>
      </w:pPr>
      <w:r w:rsidRPr="00DA1785">
        <w:rPr>
          <w:rFonts w:ascii="Times New Roman" w:hAnsi="Times New Roman" w:cs="Times New Roman"/>
          <w:noProof/>
          <w:sz w:val="24"/>
          <w:szCs w:val="24"/>
          <w:vertAlign w:val="superscript"/>
        </w:rPr>
        <w:t>9</w:t>
      </w:r>
      <w:r w:rsidRPr="00DA1785">
        <w:rPr>
          <w:rFonts w:ascii="Times New Roman" w:hAnsi="Times New Roman" w:cs="Times New Roman"/>
          <w:noProof/>
          <w:sz w:val="24"/>
          <w:szCs w:val="24"/>
        </w:rPr>
        <w:t xml:space="preserve"> B. Peters, P.G. Bolhuis, R.G. Mullen, and J.-E. Shea, J. Chem. Phys. </w:t>
      </w:r>
      <w:r w:rsidRPr="00DA1785">
        <w:rPr>
          <w:rFonts w:ascii="Times New Roman" w:hAnsi="Times New Roman" w:cs="Times New Roman"/>
          <w:b/>
          <w:bCs/>
          <w:noProof/>
          <w:sz w:val="24"/>
          <w:szCs w:val="24"/>
        </w:rPr>
        <w:t>138</w:t>
      </w:r>
      <w:r w:rsidRPr="00DA1785">
        <w:rPr>
          <w:rFonts w:ascii="Times New Roman" w:hAnsi="Times New Roman" w:cs="Times New Roman"/>
          <w:noProof/>
          <w:sz w:val="24"/>
          <w:szCs w:val="24"/>
        </w:rPr>
        <w:t>, 054106 (2013).</w:t>
      </w:r>
    </w:p>
    <w:p w:rsidR="007A7322" w:rsidRPr="00366132" w:rsidRDefault="007A7322" w:rsidP="0075172C">
      <w:pPr>
        <w:pStyle w:val="NormalWeb"/>
        <w:shd w:val="clear" w:color="auto" w:fill="FFFFFF"/>
        <w:spacing w:after="120" w:line="480" w:lineRule="auto"/>
        <w:jc w:val="both"/>
        <w:rPr>
          <w:b/>
          <w:noProof/>
        </w:rPr>
      </w:pPr>
      <w:r>
        <w:rPr>
          <w:b/>
          <w:noProof/>
        </w:rPr>
        <w:fldChar w:fldCharType="end"/>
      </w:r>
    </w:p>
    <w:p w:rsidR="00852535" w:rsidRDefault="00852535" w:rsidP="00852535">
      <w:pPr>
        <w:pStyle w:val="NormalWeb"/>
        <w:shd w:val="clear" w:color="auto" w:fill="FFFFFF"/>
        <w:spacing w:after="120" w:line="480" w:lineRule="auto"/>
        <w:jc w:val="both"/>
        <w:rPr>
          <w:sz w:val="20"/>
          <w:szCs w:val="20"/>
          <w:lang w:bidi="en-US"/>
        </w:rPr>
      </w:pPr>
    </w:p>
    <w:p w:rsidR="005C414C" w:rsidRDefault="005C414C"/>
    <w:sectPr w:rsidR="005C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C7A04"/>
    <w:multiLevelType w:val="hybridMultilevel"/>
    <w:tmpl w:val="EA60F7BA"/>
    <w:lvl w:ilvl="0" w:tplc="A3E27D80">
      <w:start w:val="1"/>
      <w:numFmt w:val="upperLetter"/>
      <w:lvlText w:val="%1."/>
      <w:lvlJc w:val="left"/>
      <w:pPr>
        <w:ind w:left="360" w:hanging="360"/>
      </w:pPr>
      <w:rPr>
        <w:rFonts w:ascii="Arial" w:hAnsi="Arial" w:cs="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D0E3CAC"/>
    <w:multiLevelType w:val="hybridMultilevel"/>
    <w:tmpl w:val="F4A4C3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4FA"/>
    <w:rsid w:val="00023368"/>
    <w:rsid w:val="000A0463"/>
    <w:rsid w:val="000E783D"/>
    <w:rsid w:val="00116270"/>
    <w:rsid w:val="00262FB9"/>
    <w:rsid w:val="002867AD"/>
    <w:rsid w:val="003D41C1"/>
    <w:rsid w:val="00416D08"/>
    <w:rsid w:val="00434693"/>
    <w:rsid w:val="004565DF"/>
    <w:rsid w:val="005C414C"/>
    <w:rsid w:val="0069424B"/>
    <w:rsid w:val="0075172C"/>
    <w:rsid w:val="007A7322"/>
    <w:rsid w:val="008312C6"/>
    <w:rsid w:val="00852535"/>
    <w:rsid w:val="008E6004"/>
    <w:rsid w:val="009444FA"/>
    <w:rsid w:val="00B46DAE"/>
    <w:rsid w:val="00CD5F24"/>
    <w:rsid w:val="00DA1785"/>
    <w:rsid w:val="00E46D94"/>
    <w:rsid w:val="00EA53CD"/>
    <w:rsid w:val="00FC0A96"/>
    <w:rsid w:val="00FC6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5BDFE-5D37-4040-8824-3730A5DD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rsid w:val="008525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semiHidden/>
    <w:rsid w:val="0085253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5166-2115-4ECC-A753-8CDF98DE5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5</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dPET</dc:creator>
  <cp:keywords/>
  <dc:description/>
  <cp:lastModifiedBy>Allison Sigg</cp:lastModifiedBy>
  <cp:revision>20</cp:revision>
  <cp:lastPrinted>2020-01-16T04:06:00Z</cp:lastPrinted>
  <dcterms:created xsi:type="dcterms:W3CDTF">2020-01-02T01:43:00Z</dcterms:created>
  <dcterms:modified xsi:type="dcterms:W3CDTF">2020-01-22T14:29:00Z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http://www.zotero.org/styles/the-journal-of-chemical-physics</vt:lpwstr>
  </property>
  <property fmtid="{D5CDD505-2E9C-101B-9397-08002B2CF9AE}" pid="17" name="Mendeley Recent Style Name 7_1">
    <vt:lpwstr>The Journal of Chemical Physics</vt:lpwstr>
  </property>
  <property fmtid="{D5CDD505-2E9C-101B-9397-08002B2CF9AE}" pid="18" name="Mendeley Recent Style Id 8_1">
    <vt:lpwstr>http://www.zotero.org/styles/the-journal-of-general-physiology</vt:lpwstr>
  </property>
  <property fmtid="{D5CDD505-2E9C-101B-9397-08002B2CF9AE}" pid="19" name="Mendeley Recent Style Name 8_1">
    <vt:lpwstr>The Journal of General Physiology</vt:lpwstr>
  </property>
  <property fmtid="{D5CDD505-2E9C-101B-9397-08002B2CF9AE}" pid="20" name="Mendeley Recent Style Id 9_1">
    <vt:lpwstr>http://csl.mendeley.com/styles/25704211/the-rockefeller-university-press</vt:lpwstr>
  </property>
  <property fmtid="{D5CDD505-2E9C-101B-9397-08002B2CF9AE}" pid="21" name="Mendeley Recent Style Name 9_1">
    <vt:lpwstr>The Rockefeller University Press - Daniel Sigg</vt:lpwstr>
  </property>
  <property fmtid="{D5CDD505-2E9C-101B-9397-08002B2CF9AE}" pid="22" name="Mendeley Document_1">
    <vt:lpwstr>True</vt:lpwstr>
  </property>
  <property fmtid="{D5CDD505-2E9C-101B-9397-08002B2CF9AE}" pid="23" name="Mendeley Citation Style_1">
    <vt:lpwstr>http://www.zotero.org/styles/the-journal-of-chemical-physics</vt:lpwstr>
  </property>
  <property fmtid="{D5CDD505-2E9C-101B-9397-08002B2CF9AE}" pid="24" name="Mendeley Unique User Id_1">
    <vt:lpwstr>5147e1bb-4ad1-390f-84bd-d934d353c7a7</vt:lpwstr>
  </property>
</Properties>
</file>