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Master Documentation — Omni AI AP Agent</w:t>
      </w:r>
    </w:p>
    <w:p>
      <w:pPr>
        <w:jc w:val="center"/>
      </w:pPr>
      <w:r>
        <w:rPr>
          <w:sz w:val="24"/>
        </w:rPr>
        <w:t>Version 1.0</w:t>
      </w:r>
    </w:p>
    <w:p>
      <w:pPr>
        <w:jc w:val="center"/>
      </w:pPr>
      <w:r>
        <w:rPr>
          <w:sz w:val="22"/>
        </w:rPr>
        <w:t>Owner: Product &amp; Engineering    •    Date: 2025-09-18</w:t>
      </w:r>
    </w:p>
    <w:p>
      <w:r>
        <w:br/>
      </w:r>
    </w:p>
    <w:p>
      <w:pPr>
        <w:jc w:val="center"/>
      </w:pPr>
      <w:r>
        <w:rPr>
          <w:i/>
        </w:rPr>
        <w:t>[Company Logo Placeholder]</w:t>
      </w:r>
    </w:p>
    <w:p>
      <w:r>
        <w:br w:type="page"/>
      </w:r>
    </w:p>
    <w:p>
      <w:r>
        <w:fldSimple w:instr="TOC \o &quot;1-3&quot; \h \z \u"/>
      </w:r>
    </w:p>
    <w:p>
      <w:r>
        <w:t>Tip: In Word, right‑click the TOC and choose “Update Field” to populate.</w:t>
      </w:r>
    </w:p>
    <w:p>
      <w:r>
        <w:br w:type="page"/>
      </w:r>
    </w:p>
    <w:p>
      <w:pPr>
        <w:pStyle w:val="Heading1"/>
      </w:pPr>
      <w:r>
        <w:t>1. Business &amp; Product Documents</w:t>
      </w:r>
    </w:p>
    <w:p>
      <w:pPr>
        <w:pStyle w:val="Heading2"/>
      </w:pPr>
      <w:r>
        <w:t>1.1 Product Requirement Document (PRD)</w:t>
      </w:r>
    </w:p>
    <w:p>
      <w:pPr>
        <w:pStyle w:val="Heading3"/>
      </w:pPr>
      <w:r>
        <w:t>Purpose &amp; Vision</w:t>
      </w:r>
    </w:p>
    <w:p>
      <w:r>
        <w:t>Omni AI AP Agent automates the end‑to‑end processing of vendor invoices to reduce costs, shorten cycle times, and improve compliance. It combines AI‑based document understanding with orchestrated workflows in n8n, integrates with Microsoft 365 for intake, storage, and collaboration, and connects to SAP by persisting validated invoice data into a customer‑owned Z‑table. An ABAP job owned by the customer posts those entries into FI/MM, ensuring internal controls remain within the enterprise ERP.</w:t>
      </w:r>
    </w:p>
    <w:p>
      <w:pPr>
        <w:pStyle w:val="Heading3"/>
      </w:pPr>
      <w:r>
        <w:t>Problem Statement &amp; Use Cases</w:t>
      </w:r>
    </w:p>
    <w:p>
      <w:r>
        <w:t>Manual AP handling is slow (days), error‑prone (duplicates, mismatches), and costly ($5–$7 per invoice). The AP Agent addresses standard invoice intake, AI extraction, policy and master data validation, exception routing, and controlled SAP integration via a Z‑table. Key use cases include PO and Non‑PO invoices, credit memos, duplicate detection, and status visibility for AP teams.</w:t>
      </w:r>
    </w:p>
    <w:p>
      <w:pPr>
        <w:pStyle w:val="Heading3"/>
      </w:pPr>
      <w:r>
        <w:t>Target Users</w:t>
      </w:r>
    </w:p>
    <w:p>
      <w:r>
        <w:t>AP Clerks, Finance Managers/Controllers, CFO/Treasury stakeholders, and IT/ERP Owners.</w:t>
      </w:r>
    </w:p>
    <w:p>
      <w:pPr>
        <w:pStyle w:val="Heading3"/>
      </w:pPr>
      <w:r>
        <w:t>Key Features &amp; Modules</w:t>
      </w:r>
    </w:p>
    <w:p>
      <w:r>
        <w:t>• Intake via Outlook (POC), Teams upload, and future portal drag‑and‑drop.</w:t>
        <w:br/>
        <w:t>• AI‑based OCR/LLM extraction, classification, and validation (PO match, totals, currency/tax, duplicates).</w:t>
        <w:br/>
        <w:t>• Archive in SharePoint; operational logs in Excel (POC) and PostgreSQL (production).</w:t>
        <w:br/>
        <w:t>• SAP integration by writing header/items into Z‑tables; customer ABAP job posts to FI/MM.</w:t>
        <w:br/>
        <w:t>• Teams chatbot for status and exception prompts; portal dashboard; Power BI KPIs.</w:t>
      </w:r>
    </w:p>
    <w:p>
      <w:pPr>
        <w:pStyle w:val="Heading3"/>
      </w:pPr>
      <w:r>
        <w:t>Success Metrics</w:t>
      </w:r>
    </w:p>
    <w:tbl>
      <w:tblPr>
        <w:tblStyle w:val="LightList-Accent1"/>
        <w:tblW w:type="auto" w:w="0"/>
        <w:tblLook w:firstColumn="1" w:firstRow="1" w:lastColumn="0" w:lastRow="0" w:noHBand="0" w:noVBand="1" w:val="04A0"/>
      </w:tblPr>
      <w:tblGrid>
        <w:gridCol w:w="4677"/>
        <w:gridCol w:w="4677"/>
      </w:tblGrid>
      <w:tr>
        <w:tc>
          <w:tcPr>
            <w:tcW w:type="dxa" w:w="4677"/>
          </w:tcPr>
          <w:p>
            <w:r>
              <w:t>Metric</w:t>
            </w:r>
          </w:p>
        </w:tc>
        <w:tc>
          <w:tcPr>
            <w:tcW w:type="dxa" w:w="4677"/>
          </w:tcPr>
          <w:p>
            <w:r>
              <w:t>Target</w:t>
            </w:r>
          </w:p>
        </w:tc>
      </w:tr>
      <w:tr>
        <w:tc>
          <w:tcPr>
            <w:tcW w:type="dxa" w:w="4677"/>
          </w:tcPr>
          <w:p>
            <w:r>
              <w:t>Straight‑through processing</w:t>
            </w:r>
          </w:p>
        </w:tc>
        <w:tc>
          <w:tcPr>
            <w:tcW w:type="dxa" w:w="4677"/>
          </w:tcPr>
          <w:p>
            <w:r>
              <w:t>≥ 95% of standard invoices</w:t>
            </w:r>
          </w:p>
        </w:tc>
      </w:tr>
      <w:tr>
        <w:tc>
          <w:tcPr>
            <w:tcW w:type="dxa" w:w="4677"/>
          </w:tcPr>
          <w:p>
            <w:r>
              <w:t>Median cycle time</w:t>
            </w:r>
          </w:p>
        </w:tc>
        <w:tc>
          <w:tcPr>
            <w:tcW w:type="dxa" w:w="4677"/>
          </w:tcPr>
          <w:p>
            <w:r>
              <w:t>&lt; 6 hours</w:t>
            </w:r>
          </w:p>
        </w:tc>
      </w:tr>
      <w:tr>
        <w:tc>
          <w:tcPr>
            <w:tcW w:type="dxa" w:w="4677"/>
          </w:tcPr>
          <w:p>
            <w:r>
              <w:t>Posting accuracy (after SAP job)</w:t>
            </w:r>
          </w:p>
        </w:tc>
        <w:tc>
          <w:tcPr>
            <w:tcW w:type="dxa" w:w="4677"/>
          </w:tcPr>
          <w:p>
            <w:r>
              <w:t>≥ 99.5%</w:t>
            </w:r>
          </w:p>
        </w:tc>
      </w:tr>
      <w:tr>
        <w:tc>
          <w:tcPr>
            <w:tcW w:type="dxa" w:w="4677"/>
          </w:tcPr>
          <w:p>
            <w:r>
              <w:t>Cost per invoice</w:t>
            </w:r>
          </w:p>
        </w:tc>
        <w:tc>
          <w:tcPr>
            <w:tcW w:type="dxa" w:w="4677"/>
          </w:tcPr>
          <w:p>
            <w:r>
              <w:t>≤ $0.50</w:t>
            </w:r>
          </w:p>
        </w:tc>
      </w:tr>
      <w:tr>
        <w:tc>
          <w:tcPr>
            <w:tcW w:type="dxa" w:w="4677"/>
          </w:tcPr>
          <w:p>
            <w:r>
              <w:t>Exception resolution time</w:t>
            </w:r>
          </w:p>
        </w:tc>
        <w:tc>
          <w:tcPr>
            <w:tcW w:type="dxa" w:w="4677"/>
          </w:tcPr>
          <w:p>
            <w:r>
              <w:t>&lt; 24 hours (P80)</w:t>
            </w:r>
          </w:p>
        </w:tc>
      </w:tr>
    </w:tbl>
    <w:p/>
    <w:p>
      <w:pPr>
        <w:pStyle w:val="Heading3"/>
      </w:pPr>
      <w:r>
        <w:t>Dependencies &amp; Constraints</w:t>
      </w:r>
    </w:p>
    <w:p>
      <w:r>
        <w:t>Microsoft Graph (mail/files/Teams), SharePoint site/library, SAP connectivity and Z‑tables, customer ABAP posting job, approved security model (SSO, encryption, retention), and available AI services.</w:t>
      </w:r>
    </w:p>
    <w:p>
      <w:pPr>
        <w:pStyle w:val="Heading2"/>
      </w:pPr>
      <w:r>
        <w:t>1.2 Product Roadmap</w:t>
      </w:r>
    </w:p>
    <w:p>
      <w:pPr>
        <w:pStyle w:val="Heading3"/>
      </w:pPr>
      <w:r>
        <w:t>Milestones &amp; Phases</w:t>
      </w:r>
    </w:p>
    <w:p>
      <w:r>
        <w:t>Pilot (Months 1–2): Outlook intake, SharePoint archive, Excel logs, Z‑table write in SAP TEST.</w:t>
        <w:br/>
        <w:t>UAT/Go Live (Months 3–4): PostgreSQL DB, Teams notifications, SAP PROD Z‑table flow, hypercare.</w:t>
        <w:br/>
        <w:t>Scale (Months 5–8): Portal dashboards, Teams chatbot queries, vendor templates, cost optimization.</w:t>
        <w:br/>
        <w:t>Optimize (Months 9–12): Multi‑language parsing, advanced duplicate detection, 100k+/mo volume.</w:t>
      </w:r>
    </w:p>
    <w:p>
      <w:pPr>
        <w:pStyle w:val="Heading3"/>
      </w:pPr>
      <w:r>
        <w:t>Feature Releases Timeline</w:t>
      </w:r>
    </w:p>
    <w:tbl>
      <w:tblPr>
        <w:tblStyle w:val="LightList-Accent1"/>
        <w:tblW w:type="auto" w:w="0"/>
        <w:tblLook w:firstColumn="1" w:firstRow="1" w:lastColumn="0" w:lastRow="0" w:noHBand="0" w:noVBand="1" w:val="04A0"/>
      </w:tblPr>
      <w:tblGrid>
        <w:gridCol w:w="4677"/>
        <w:gridCol w:w="4677"/>
      </w:tblGrid>
      <w:tr>
        <w:tc>
          <w:tcPr>
            <w:tcW w:type="dxa" w:w="4677"/>
          </w:tcPr>
          <w:p>
            <w:r>
              <w:t>Quarter</w:t>
            </w:r>
          </w:p>
        </w:tc>
        <w:tc>
          <w:tcPr>
            <w:tcW w:type="dxa" w:w="4677"/>
          </w:tcPr>
          <w:p>
            <w:r>
              <w:t>Key Deliverables</w:t>
            </w:r>
          </w:p>
        </w:tc>
      </w:tr>
      <w:tr>
        <w:tc>
          <w:tcPr>
            <w:tcW w:type="dxa" w:w="4677"/>
          </w:tcPr>
          <w:p>
            <w:r>
              <w:t>Q1</w:t>
            </w:r>
          </w:p>
        </w:tc>
        <w:tc>
          <w:tcPr>
            <w:tcW w:type="dxa" w:w="4677"/>
          </w:tcPr>
          <w:p>
            <w:r>
              <w:t>Pilot + Z‑table integration TEST + Excel logs</w:t>
            </w:r>
          </w:p>
        </w:tc>
      </w:tr>
      <w:tr>
        <w:tc>
          <w:tcPr>
            <w:tcW w:type="dxa" w:w="4677"/>
          </w:tcPr>
          <w:p>
            <w:r>
              <w:t>Q2</w:t>
            </w:r>
          </w:p>
        </w:tc>
        <w:tc>
          <w:tcPr>
            <w:tcW w:type="dxa" w:w="4677"/>
          </w:tcPr>
          <w:p>
            <w:r>
              <w:t>DB migration, Teams alerts, SAP PROD Z‑table flow</w:t>
            </w:r>
          </w:p>
        </w:tc>
      </w:tr>
      <w:tr>
        <w:tc>
          <w:tcPr>
            <w:tcW w:type="dxa" w:w="4677"/>
          </w:tcPr>
          <w:p>
            <w:r>
              <w:t>Q3</w:t>
            </w:r>
          </w:p>
        </w:tc>
        <w:tc>
          <w:tcPr>
            <w:tcW w:type="dxa" w:w="4677"/>
          </w:tcPr>
          <w:p>
            <w:r>
              <w:t>Portal dashboards, chatbot status queries</w:t>
            </w:r>
          </w:p>
        </w:tc>
      </w:tr>
      <w:tr>
        <w:tc>
          <w:tcPr>
            <w:tcW w:type="dxa" w:w="4677"/>
          </w:tcPr>
          <w:p>
            <w:r>
              <w:t>Q4</w:t>
            </w:r>
          </w:p>
        </w:tc>
        <w:tc>
          <w:tcPr>
            <w:tcW w:type="dxa" w:w="4677"/>
          </w:tcPr>
          <w:p>
            <w:r>
              <w:t>Multi‑tenant optimizations, multilingual OCR/LLM</w:t>
            </w:r>
          </w:p>
        </w:tc>
      </w:tr>
    </w:tbl>
    <w:p/>
    <w:p>
      <w:pPr>
        <w:pStyle w:val="Heading3"/>
      </w:pPr>
      <w:r>
        <w:t>Parallel Workstreams</w:t>
      </w:r>
    </w:p>
    <w:p>
      <w:r>
        <w:t>AP Invoice (active), Expense (next), Payment (following).</w:t>
      </w:r>
    </w:p>
    <w:p>
      <w:pPr>
        <w:pStyle w:val="Heading2"/>
      </w:pPr>
      <w:r>
        <w:t>1.3 Pricing &amp; Packaging Guide</w:t>
      </w:r>
    </w:p>
    <w:p>
      <w:pPr>
        <w:pStyle w:val="Heading3"/>
      </w:pPr>
      <w:r>
        <w:t>Subscription Plans</w:t>
      </w:r>
    </w:p>
    <w:tbl>
      <w:tblPr>
        <w:tblStyle w:val="LightList-Accent1"/>
        <w:tblW w:type="auto" w:w="0"/>
        <w:tblLook w:firstColumn="1" w:firstRow="1" w:lastColumn="0" w:lastRow="0" w:noHBand="0" w:noVBand="1" w:val="04A0"/>
      </w:tblPr>
      <w:tblGrid>
        <w:gridCol w:w="3118"/>
        <w:gridCol w:w="3118"/>
        <w:gridCol w:w="3118"/>
      </w:tblGrid>
      <w:tr>
        <w:tc>
          <w:tcPr>
            <w:tcW w:type="dxa" w:w="3118"/>
          </w:tcPr>
          <w:p>
            <w:r>
              <w:t>Plan</w:t>
            </w:r>
          </w:p>
        </w:tc>
        <w:tc>
          <w:tcPr>
            <w:tcW w:type="dxa" w:w="3118"/>
          </w:tcPr>
          <w:p>
            <w:r>
              <w:t>Intended Customer</w:t>
            </w:r>
          </w:p>
        </w:tc>
        <w:tc>
          <w:tcPr>
            <w:tcW w:type="dxa" w:w="3118"/>
          </w:tcPr>
          <w:p>
            <w:r>
              <w:t>Highlights</w:t>
            </w:r>
          </w:p>
        </w:tc>
      </w:tr>
      <w:tr>
        <w:tc>
          <w:tcPr>
            <w:tcW w:type="dxa" w:w="3118"/>
          </w:tcPr>
          <w:p>
            <w:r>
              <w:t>Starter</w:t>
            </w:r>
          </w:p>
        </w:tc>
        <w:tc>
          <w:tcPr>
            <w:tcW w:type="dxa" w:w="3118"/>
          </w:tcPr>
          <w:p>
            <w:r>
              <w:t>SMB/departmental</w:t>
            </w:r>
          </w:p>
        </w:tc>
        <w:tc>
          <w:tcPr>
            <w:tcW w:type="dxa" w:w="3118"/>
          </w:tcPr>
          <w:p>
            <w:r>
              <w:t>Volume cap, Outlook intake, SharePoint archive, monthly support</w:t>
            </w:r>
          </w:p>
        </w:tc>
      </w:tr>
      <w:tr>
        <w:tc>
          <w:tcPr>
            <w:tcW w:type="dxa" w:w="3118"/>
          </w:tcPr>
          <w:p>
            <w:r>
              <w:t>Pro</w:t>
            </w:r>
          </w:p>
        </w:tc>
        <w:tc>
          <w:tcPr>
            <w:tcW w:type="dxa" w:w="3118"/>
          </w:tcPr>
          <w:p>
            <w:r>
              <w:t>Mid-market</w:t>
            </w:r>
          </w:p>
        </w:tc>
        <w:tc>
          <w:tcPr>
            <w:tcW w:type="dxa" w:w="3118"/>
          </w:tcPr>
          <w:p>
            <w:r>
              <w:t>Higher caps, Teams alerts, DB reporting, chatbot status, priority support</w:t>
            </w:r>
          </w:p>
        </w:tc>
      </w:tr>
      <w:tr>
        <w:tc>
          <w:tcPr>
            <w:tcW w:type="dxa" w:w="3118"/>
          </w:tcPr>
          <w:p>
            <w:r>
              <w:t>Enterprise</w:t>
            </w:r>
          </w:p>
        </w:tc>
        <w:tc>
          <w:tcPr>
            <w:tcW w:type="dxa" w:w="3118"/>
          </w:tcPr>
          <w:p>
            <w:r>
              <w:t>Regulated/Large</w:t>
            </w:r>
          </w:p>
        </w:tc>
        <w:tc>
          <w:tcPr>
            <w:tcW w:type="dxa" w:w="3118"/>
          </w:tcPr>
          <w:p>
            <w:r>
              <w:t>SSO/SOC2, VPC/VPN, custom Z-table mapping, SLAs, dedicated onboarding</w:t>
            </w:r>
          </w:p>
        </w:tc>
      </w:tr>
    </w:tbl>
    <w:p/>
    <w:p>
      <w:pPr>
        <w:pStyle w:val="Heading3"/>
      </w:pPr>
      <w:r>
        <w:t>Add‑ons</w:t>
      </w:r>
    </w:p>
    <w:p>
      <w:r>
        <w:t>Additional invoice packs; vendor template packs; custom ABAP mapping; dedicated support hours; new agent (Expense/Payment) add‑ons.</w:t>
      </w:r>
    </w:p>
    <w:p>
      <w:pPr>
        <w:pStyle w:val="Heading3"/>
      </w:pPr>
      <w:r>
        <w:t>Billing &amp; Payment Process</w:t>
      </w:r>
    </w:p>
    <w:p>
      <w:r>
        <w:t>Stripe checkout for SaaS; Enterprise invoicing/PO; marketplace listing (future).</w:t>
      </w:r>
    </w:p>
    <w:p>
      <w:pPr>
        <w:pStyle w:val="Heading3"/>
      </w:pPr>
      <w:r>
        <w:t>SLA Commitments</w:t>
      </w:r>
    </w:p>
    <w:tbl>
      <w:tblPr>
        <w:tblStyle w:val="LightList-Accent1"/>
        <w:tblW w:type="auto" w:w="0"/>
        <w:tblLook w:firstColumn="1" w:firstRow="1" w:lastColumn="0" w:lastRow="0" w:noHBand="0" w:noVBand="1" w:val="04A0"/>
      </w:tblPr>
      <w:tblGrid>
        <w:gridCol w:w="4677"/>
        <w:gridCol w:w="4677"/>
      </w:tblGrid>
      <w:tr>
        <w:tc>
          <w:tcPr>
            <w:tcW w:type="dxa" w:w="4677"/>
          </w:tcPr>
          <w:p>
            <w:r>
              <w:t>SLA Item</w:t>
            </w:r>
          </w:p>
        </w:tc>
        <w:tc>
          <w:tcPr>
            <w:tcW w:type="dxa" w:w="4677"/>
          </w:tcPr>
          <w:p>
            <w:r>
              <w:t>Target</w:t>
            </w:r>
          </w:p>
        </w:tc>
      </w:tr>
      <w:tr>
        <w:tc>
          <w:tcPr>
            <w:tcW w:type="dxa" w:w="4677"/>
          </w:tcPr>
          <w:p>
            <w:r>
              <w:t>Uptime</w:t>
            </w:r>
          </w:p>
        </w:tc>
        <w:tc>
          <w:tcPr>
            <w:tcW w:type="dxa" w:w="4677"/>
          </w:tcPr>
          <w:p>
            <w:r>
              <w:t>99.5% monthly</w:t>
            </w:r>
          </w:p>
        </w:tc>
      </w:tr>
      <w:tr>
        <w:tc>
          <w:tcPr>
            <w:tcW w:type="dxa" w:w="4677"/>
          </w:tcPr>
          <w:p>
            <w:r>
              <w:t>P1 response</w:t>
            </w:r>
          </w:p>
        </w:tc>
        <w:tc>
          <w:tcPr>
            <w:tcW w:type="dxa" w:w="4677"/>
          </w:tcPr>
          <w:p>
            <w:r>
              <w:t>≤ 15 minutes</w:t>
            </w:r>
          </w:p>
        </w:tc>
      </w:tr>
      <w:tr>
        <w:tc>
          <w:tcPr>
            <w:tcW w:type="dxa" w:w="4677"/>
          </w:tcPr>
          <w:p>
            <w:r>
              <w:t>RPO / RTO</w:t>
            </w:r>
          </w:p>
        </w:tc>
        <w:tc>
          <w:tcPr>
            <w:tcW w:type="dxa" w:w="4677"/>
          </w:tcPr>
          <w:p>
            <w:r>
              <w:t>≤ 15 minutes / ≤ 4 hours</w:t>
            </w:r>
          </w:p>
        </w:tc>
      </w:tr>
    </w:tbl>
    <w:p/>
    <w:p>
      <w:pPr>
        <w:pStyle w:val="Heading1"/>
      </w:pPr>
      <w:r>
        <w:t>2. Technical Documents</w:t>
      </w:r>
    </w:p>
    <w:p>
      <w:pPr>
        <w:pStyle w:val="Heading2"/>
      </w:pPr>
      <w:r>
        <w:t>2.1 System Architecture Document</w:t>
      </w:r>
    </w:p>
    <w:p>
      <w:pPr>
        <w:pStyle w:val="Heading3"/>
      </w:pPr>
      <w:r>
        <w:t>High‑level Diagram</w:t>
      </w:r>
    </w:p>
    <w:p>
      <w:r>
        <w:t>[Diagram not found: Omni_AI_AP_Agent_Logical_Architecture.png]</w:t>
      </w:r>
    </w:p>
    <w:p>
      <w:pPr>
        <w:pStyle w:val="Heading3"/>
      </w:pPr>
      <w:r>
        <w:t>Data Flow</w:t>
      </w:r>
    </w:p>
    <w:p>
      <w:r>
        <w:t>1) Intake from Outlook/Teams/Portal; 2) AI OCR/LLM extraction; 3) Classification &amp; validation (PO/Non‑PO/CM, totals, tax, duplicates); 4) Archive to SharePoint and log to DB; 5) Write to SAP Z‑tables (header/items) via OData/RFC; 6) Customer ABAP job posts to FI/MM; 7) Agent syncs status and notifies via Teams/portal.</w:t>
      </w:r>
    </w:p>
    <w:p>
      <w:pPr>
        <w:pStyle w:val="Heading3"/>
      </w:pPr>
      <w:r>
        <w:t>Components</w:t>
      </w:r>
    </w:p>
    <w:p>
      <w:r>
        <w:t>n8n (orchestration), AI services (OCR/LLM), Microsoft Graph (Outlook/SharePoint/Teams), PostgreSQL (prod logs/ops), SAP Gateway/CPI/RFC (Z‑table write), Power BI dashboards, Teams bot, web portal.</w:t>
      </w:r>
    </w:p>
    <w:p>
      <w:pPr>
        <w:pStyle w:val="Heading3"/>
      </w:pPr>
      <w:r>
        <w:t>Security Layers</w:t>
      </w:r>
    </w:p>
    <w:p>
      <w:r>
        <w:t>SSO for portal/editor; TLS 1.2+; encryption at rest; least‑privilege credentials; immutable audit logs; role‑based access (Admin/Finance/Read‑only); key rotation; SIEM forwarding.</w:t>
      </w:r>
    </w:p>
    <w:p>
      <w:pPr>
        <w:pStyle w:val="Heading2"/>
      </w:pPr>
      <w:r>
        <w:t>2.2 Integration Guide</w:t>
      </w:r>
    </w:p>
    <w:p>
      <w:pPr>
        <w:pStyle w:val="Heading3"/>
      </w:pPr>
      <w:r>
        <w:t>SAP Connectivity (via Z‑Table)</w:t>
      </w:r>
    </w:p>
    <w:p>
      <w:r>
        <w:t>Preferred in S/4HANA: OData service `Z_AP_INVOICE_SRV` with deep insert for header/items; in ECC: RFC FM `Z_AP_INVOICE_WRITE` potentially via CPI. Agent persists to Z tables and receives a `Z_REF_ID`. Customer ABAP job posts and updates status/SAP doc number.</w:t>
      </w:r>
    </w:p>
    <w:p>
      <w:pPr>
        <w:pStyle w:val="Heading3"/>
      </w:pPr>
      <w:r>
        <w:t>Teams/Outlook Setup (SSO, bot triggers)</w:t>
      </w:r>
    </w:p>
    <w:p>
      <w:r>
        <w:t>Azure App Registration with Application permissions (Mail.Read, Files.ReadWrite.All, Sites.ReadWrite.All, offline_access); optional Teams scopes for chatbot and alerts. Admin consent required.</w:t>
      </w:r>
    </w:p>
    <w:p>
      <w:pPr>
        <w:pStyle w:val="Heading3"/>
      </w:pPr>
      <w:r>
        <w:t>Database Schema</w:t>
      </w:r>
    </w:p>
    <w:p>
      <w:r>
        <w:t>Core tables: invoices, invoice_lines, exceptions, files, audit_log. Keys include `id` (UUID) and `z_ref_id` linking to SAP entries.</w:t>
      </w:r>
    </w:p>
    <w:p>
      <w:pPr>
        <w:pStyle w:val="Heading3"/>
      </w:pPr>
      <w:r>
        <w:t>API Endpoints &amp; Authentication</w:t>
      </w:r>
    </w:p>
    <w:p>
      <w:r>
        <w:t>Graph OAuth2 for Microsoft 365; OData/RFC with SAP Gateway/CPI; portal APIs protected by SSO/JWT. All communications are TLS‑encrypted; secrets stored in a vault.</w:t>
      </w:r>
    </w:p>
    <w:p>
      <w:pPr>
        <w:pStyle w:val="Heading2"/>
      </w:pPr>
      <w:r>
        <w:t>2.3 Deployment Runbook (Summary)</w:t>
      </w:r>
    </w:p>
    <w:p>
      <w:r>
        <w:t>Pre‑reqs: n8n cluster, secrets vault, Graph consent, SharePoint library, SAP TEST Z‑tables/service/FM, ABAP posting job. Steps: provision → configure Graph/SharePoint/Teams → SAP Z‑table exposure → import flows → bind creds → TEST validation → UAT sign‑off → go‑live → hypercare. Monitoring via health checks, failure rate thresholds, Teams/PagerDuty alerts, and Power BI KPIs.</w:t>
      </w:r>
    </w:p>
    <w:p>
      <w:pPr>
        <w:pStyle w:val="Heading2"/>
      </w:pPr>
      <w:r>
        <w:t>2.4 Security &amp; Compliance Policy</w:t>
      </w:r>
    </w:p>
    <w:p>
      <w:r>
        <w:t>GDPR/SOC2 alignment with data inventory, DPA, access reviews, and change control. TLS 1.2+ in transit and encryption at rest; immutable audit logs retained 1–7 years; SSO (Azure AD/Okta), least‑privilege RBAC, quarterly access reviews, and secret rotation.</w:t>
      </w:r>
    </w:p>
    <w:p>
      <w:pPr>
        <w:pStyle w:val="Heading1"/>
      </w:pPr>
      <w:r>
        <w:t>3. Process &amp; Operations Docs</w:t>
      </w:r>
    </w:p>
    <w:p>
      <w:pPr>
        <w:pStyle w:val="Heading2"/>
      </w:pPr>
      <w:r>
        <w:t>3.1 Onboarding Guide (Internal Use)</w:t>
      </w:r>
    </w:p>
    <w:p>
      <w:r>
        <w:t>Provision the tenant, mailbox, and SharePoint library; obtain Graph admin consent; configure SAP Z‑table exposure and ABAP job; map vendor master IDs; enable Teams exception routing. Initialize feature flags (`USE_DB`, `AUTO_POST_TO_SAP=false` in UAT). Validate with sample PO, Non‑PO, and credit memo invoices.</w:t>
      </w:r>
    </w:p>
    <w:p>
      <w:pPr>
        <w:pStyle w:val="Heading2"/>
      </w:pPr>
      <w:r>
        <w:t>3.2 Developer/Intern Playbook</w:t>
      </w:r>
    </w:p>
    <w:p>
      <w:r>
        <w:t>Adopt modular sub‑workflows (intake, parse, validate, write). Include catch nodes and idempotent checks using `Z_REF_ID`. Handle Graph throttling with exponential backoff; bound retries for SAP writes; implement circuit breakers. Keep JSON exports in Git with changelogs, semantic versioning, PR reviews, and a security checklist.</w:t>
      </w:r>
    </w:p>
    <w:p>
      <w:pPr>
        <w:pStyle w:val="Heading2"/>
      </w:pPr>
      <w:r>
        <w:t>3.3 Testing &amp; QA Checklist</w:t>
      </w:r>
    </w:p>
    <w:p>
      <w:r>
        <w:t>Unit tests for parsing transforms, totals/currency math, duplicate key logic, and Z‑table mapping. E2E tests from intake to SharePoint archive to Z‑table write, ABAP posting, and back to status sync. Exception scenarios include unreadable PDFs, unknown vendors, PO mismatches, duplicates, and large multi‑line invoices. Regression uses golden datasets and field‑level comparisons.</w:t>
      </w:r>
    </w:p>
    <w:p>
      <w:pPr>
        <w:pStyle w:val="Heading2"/>
      </w:pPr>
      <w:r>
        <w:t>3.4 Incident &amp; Support SOPs</w:t>
      </w:r>
    </w:p>
    <w:tbl>
      <w:tblPr>
        <w:tblStyle w:val="LightList-Accent1"/>
        <w:tblW w:type="auto" w:w="0"/>
        <w:tblLook w:firstColumn="1" w:firstRow="1" w:lastColumn="0" w:lastRow="0" w:noHBand="0" w:noVBand="1" w:val="04A0"/>
      </w:tblPr>
      <w:tblGrid>
        <w:gridCol w:w="2339"/>
        <w:gridCol w:w="2339"/>
        <w:gridCol w:w="2339"/>
        <w:gridCol w:w="2339"/>
      </w:tblGrid>
      <w:tr>
        <w:tc>
          <w:tcPr>
            <w:tcW w:type="dxa" w:w="2339"/>
          </w:tcPr>
          <w:p>
            <w:r>
              <w:t>Severity</w:t>
            </w:r>
          </w:p>
        </w:tc>
        <w:tc>
          <w:tcPr>
            <w:tcW w:type="dxa" w:w="2339"/>
          </w:tcPr>
          <w:p>
            <w:r>
              <w:t>Definition</w:t>
            </w:r>
          </w:p>
        </w:tc>
        <w:tc>
          <w:tcPr>
            <w:tcW w:type="dxa" w:w="2339"/>
          </w:tcPr>
          <w:p>
            <w:r>
              <w:t>Response</w:t>
            </w:r>
          </w:p>
        </w:tc>
        <w:tc>
          <w:tcPr>
            <w:tcW w:type="dxa" w:w="2339"/>
          </w:tcPr>
          <w:p>
            <w:r>
              <w:t>Target Restore</w:t>
            </w:r>
          </w:p>
        </w:tc>
      </w:tr>
      <w:tr>
        <w:tc>
          <w:tcPr>
            <w:tcW w:type="dxa" w:w="2339"/>
          </w:tcPr>
          <w:p>
            <w:r>
              <w:t>P1</w:t>
            </w:r>
          </w:p>
        </w:tc>
        <w:tc>
          <w:tcPr>
            <w:tcW w:type="dxa" w:w="2339"/>
          </w:tcPr>
          <w:p>
            <w:r>
              <w:t>Ingestion down or Z writes failing broadly</w:t>
            </w:r>
          </w:p>
        </w:tc>
        <w:tc>
          <w:tcPr>
            <w:tcW w:type="dxa" w:w="2339"/>
          </w:tcPr>
          <w:p>
            <w:r>
              <w:t>≤ 15 min</w:t>
            </w:r>
          </w:p>
        </w:tc>
        <w:tc>
          <w:tcPr>
            <w:tcW w:type="dxa" w:w="2339"/>
          </w:tcPr>
          <w:p>
            <w:r>
              <w:t>≤ 4 h</w:t>
            </w:r>
          </w:p>
        </w:tc>
      </w:tr>
      <w:tr>
        <w:tc>
          <w:tcPr>
            <w:tcW w:type="dxa" w:w="2339"/>
          </w:tcPr>
          <w:p>
            <w:r>
              <w:t>P2</w:t>
            </w:r>
          </w:p>
        </w:tc>
        <w:tc>
          <w:tcPr>
            <w:tcW w:type="dxa" w:w="2339"/>
          </w:tcPr>
          <w:p>
            <w:r>
              <w:t>Elevated exceptions or SAP backlog</w:t>
            </w:r>
          </w:p>
        </w:tc>
        <w:tc>
          <w:tcPr>
            <w:tcW w:type="dxa" w:w="2339"/>
          </w:tcPr>
          <w:p>
            <w:r>
              <w:t>≤ 30 min</w:t>
            </w:r>
          </w:p>
        </w:tc>
        <w:tc>
          <w:tcPr>
            <w:tcW w:type="dxa" w:w="2339"/>
          </w:tcPr>
          <w:p>
            <w:r>
              <w:t>≤ 8 h</w:t>
            </w:r>
          </w:p>
        </w:tc>
      </w:tr>
      <w:tr>
        <w:tc>
          <w:tcPr>
            <w:tcW w:type="dxa" w:w="2339"/>
          </w:tcPr>
          <w:p>
            <w:r>
              <w:t>P3</w:t>
            </w:r>
          </w:p>
        </w:tc>
        <w:tc>
          <w:tcPr>
            <w:tcW w:type="dxa" w:w="2339"/>
          </w:tcPr>
          <w:p>
            <w:r>
              <w:t>Individual vendor/template issue</w:t>
            </w:r>
          </w:p>
        </w:tc>
        <w:tc>
          <w:tcPr>
            <w:tcW w:type="dxa" w:w="2339"/>
          </w:tcPr>
          <w:p>
            <w:r>
              <w:t>≤ 4 h</w:t>
            </w:r>
          </w:p>
        </w:tc>
        <w:tc>
          <w:tcPr>
            <w:tcW w:type="dxa" w:w="2339"/>
          </w:tcPr>
          <w:p>
            <w:r>
              <w:t>≤ 2 days</w:t>
            </w:r>
          </w:p>
        </w:tc>
      </w:tr>
    </w:tbl>
    <w:p/>
    <w:p>
      <w:r>
        <w:t>Escalation: Tier 1 (Support/Intern) → Tier 2 (Dev/Integration) → Tier 3 (Architect/Founders). Ticketing follows intake, triage, severity setting, mitigation/rollback if needed, and RCA within 48h for P1/P2.</w:t>
      </w:r>
    </w:p>
    <w:p>
      <w:pPr>
        <w:pStyle w:val="Heading1"/>
      </w:pPr>
      <w:r>
        <w:t>4. Customer‑Facing Docs</w:t>
      </w:r>
    </w:p>
    <w:p>
      <w:pPr>
        <w:pStyle w:val="Heading2"/>
      </w:pPr>
      <w:r>
        <w:t>4.1 End‑User Guide</w:t>
      </w:r>
    </w:p>
    <w:p>
      <w:r>
        <w:t>Submit invoices by emailing the AP mailbox, uploading to the Teams channel, or using the portal (when enabled). Exceptions appear in Teams with details and links; approvers can comment and trigger reprocessing if permitted. To check status, use the portal dashboard or Teams bot (e.g., “/status INV‑12345”).</w:t>
      </w:r>
    </w:p>
    <w:p>
      <w:pPr>
        <w:pStyle w:val="Heading2"/>
      </w:pPr>
      <w:r>
        <w:t>4.2 FAQ &amp; Troubleshooting Guide</w:t>
      </w:r>
    </w:p>
    <w:p>
      <w:r>
        <w:t>• Not posted? See exception note (vendor/PO mismatch, totals issue). • Duplicates? Detected using vendor+invoice number+date+amount and file hash. • Add/correct vendor? Contact master data; the agent reprocesses once data is available. • Reimbursement timing? After ABAP posting and payment run; portal shows SAP document and payment status.</w:t>
      </w:r>
    </w:p>
    <w:p>
      <w:pPr>
        <w:pStyle w:val="Heading2"/>
      </w:pPr>
      <w:r>
        <w:t>4.3 Training Material</w:t>
      </w:r>
    </w:p>
    <w:p>
      <w:r>
        <w:t>Quick‑start slides for roles and flows; 2–3 minute demo videos for submission, exception handling, and status checks; cheat sheets listing status and exception codes with support contacts.</w:t>
      </w:r>
    </w:p>
    <w:p>
      <w:pPr>
        <w:pStyle w:val="Heading1"/>
      </w:pPr>
      <w:r>
        <w:t>5. Governance &amp; Change Management</w:t>
      </w:r>
    </w:p>
    <w:p>
      <w:pPr>
        <w:pStyle w:val="Heading2"/>
      </w:pPr>
      <w:r>
        <w:t>5.1 Release Notes Template</w:t>
      </w:r>
    </w:p>
    <w:p>
      <w:r>
        <w:t>Version X.Y.Z — Date — Owner</w:t>
        <w:br/>
        <w:t>New: …</w:t>
        <w:br/>
        <w:t>Fix: …</w:t>
        <w:br/>
        <w:t>Change: …</w:t>
        <w:br/>
        <w:t>Known Issues: …</w:t>
        <w:br/>
        <w:t>Migration/Config Steps: …</w:t>
        <w:br/>
        <w:t>Rollback Notes: …</w:t>
      </w:r>
    </w:p>
    <w:p>
      <w:pPr>
        <w:pStyle w:val="Heading2"/>
      </w:pPr>
      <w:r>
        <w:t>5.2 Change Management Log</w:t>
      </w:r>
    </w:p>
    <w:tbl>
      <w:tblPr>
        <w:tblStyle w:val="LightList-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t>ID</w:t>
            </w:r>
          </w:p>
        </w:tc>
        <w:tc>
          <w:tcPr>
            <w:tcW w:type="dxa" w:w="1169"/>
          </w:tcPr>
          <w:p>
            <w:r>
              <w:t>Requester</w:t>
            </w:r>
          </w:p>
        </w:tc>
        <w:tc>
          <w:tcPr>
            <w:tcW w:type="dxa" w:w="1169"/>
          </w:tcPr>
          <w:p>
            <w:r>
              <w:t>Description</w:t>
            </w:r>
          </w:p>
        </w:tc>
        <w:tc>
          <w:tcPr>
            <w:tcW w:type="dxa" w:w="1169"/>
          </w:tcPr>
          <w:p>
            <w:r>
              <w:t>Risk</w:t>
            </w:r>
          </w:p>
        </w:tc>
        <w:tc>
          <w:tcPr>
            <w:tcW w:type="dxa" w:w="1169"/>
          </w:tcPr>
          <w:p>
            <w:r>
              <w:t>Approver</w:t>
            </w:r>
          </w:p>
        </w:tc>
        <w:tc>
          <w:tcPr>
            <w:tcW w:type="dxa" w:w="1169"/>
          </w:tcPr>
          <w:p>
            <w:r>
              <w:t>Deploy Date</w:t>
            </w:r>
          </w:p>
        </w:tc>
        <w:tc>
          <w:tcPr>
            <w:tcW w:type="dxa" w:w="1169"/>
          </w:tcPr>
          <w:p>
            <w:r>
              <w:t>Rollback Plan</w:t>
            </w:r>
          </w:p>
        </w:tc>
        <w:tc>
          <w:tcPr>
            <w:tcW w:type="dxa" w:w="1169"/>
          </w:tcPr>
          <w:p>
            <w:r>
              <w:t>Outcome</w:t>
            </w:r>
          </w:p>
        </w:tc>
      </w:tr>
    </w:tbl>
    <w:p/>
    <w:p>
      <w:pPr>
        <w:pStyle w:val="Heading2"/>
      </w:pPr>
      <w:r>
        <w:t>5.3 Service Level Agreement (SLA)</w:t>
      </w:r>
    </w:p>
    <w:tbl>
      <w:tblPr>
        <w:tblStyle w:val="LightList-Accent1"/>
        <w:tblW w:type="auto" w:w="0"/>
        <w:tblLook w:firstColumn="1" w:firstRow="1" w:lastColumn="0" w:lastRow="0" w:noHBand="0" w:noVBand="1" w:val="04A0"/>
      </w:tblPr>
      <w:tblGrid>
        <w:gridCol w:w="4677"/>
        <w:gridCol w:w="4677"/>
      </w:tblGrid>
      <w:tr>
        <w:tc>
          <w:tcPr>
            <w:tcW w:type="dxa" w:w="4677"/>
          </w:tcPr>
          <w:p>
            <w:r>
              <w:t>Item</w:t>
            </w:r>
          </w:p>
        </w:tc>
        <w:tc>
          <w:tcPr>
            <w:tcW w:type="dxa" w:w="4677"/>
          </w:tcPr>
          <w:p>
            <w:r>
              <w:t>Target</w:t>
            </w:r>
          </w:p>
        </w:tc>
      </w:tr>
      <w:tr>
        <w:tc>
          <w:tcPr>
            <w:tcW w:type="dxa" w:w="4677"/>
          </w:tcPr>
          <w:p>
            <w:r>
              <w:t>Uptime</w:t>
            </w:r>
          </w:p>
        </w:tc>
        <w:tc>
          <w:tcPr>
            <w:tcW w:type="dxa" w:w="4677"/>
          </w:tcPr>
          <w:p>
            <w:r>
              <w:t>99.5% monthly</w:t>
            </w:r>
          </w:p>
        </w:tc>
      </w:tr>
      <w:tr>
        <w:tc>
          <w:tcPr>
            <w:tcW w:type="dxa" w:w="4677"/>
          </w:tcPr>
          <w:p>
            <w:r>
              <w:t>P1 Response / Restore</w:t>
            </w:r>
          </w:p>
        </w:tc>
        <w:tc>
          <w:tcPr>
            <w:tcW w:type="dxa" w:w="4677"/>
          </w:tcPr>
          <w:p>
            <w:r>
              <w:t>≤ 15 min / ≤ 4 h</w:t>
            </w:r>
          </w:p>
        </w:tc>
      </w:tr>
      <w:tr>
        <w:tc>
          <w:tcPr>
            <w:tcW w:type="dxa" w:w="4677"/>
          </w:tcPr>
          <w:p>
            <w:r>
              <w:t>RPO / RTO</w:t>
            </w:r>
          </w:p>
        </w:tc>
        <w:tc>
          <w:tcPr>
            <w:tcW w:type="dxa" w:w="4677"/>
          </w:tcPr>
          <w:p>
            <w:r>
              <w:t>≤ 15 min / ≤ 4 h</w:t>
            </w:r>
          </w:p>
        </w:tc>
      </w:tr>
      <w:tr>
        <w:tc>
          <w:tcPr>
            <w:tcW w:type="dxa" w:w="4677"/>
          </w:tcPr>
          <w:p>
            <w:r>
              <w:t>Data Retention</w:t>
            </w:r>
          </w:p>
        </w:tc>
        <w:tc>
          <w:tcPr>
            <w:tcW w:type="dxa" w:w="4677"/>
          </w:tcPr>
          <w:p>
            <w:r>
              <w:t>1–7 years (per contract)</w:t>
            </w:r>
          </w:p>
        </w:tc>
      </w:tr>
      <w:tr>
        <w:tc>
          <w:tcPr>
            <w:tcW w:type="dxa" w:w="4677"/>
          </w:tcPr>
          <w:p>
            <w:r>
              <w:t>Support Hours</w:t>
            </w:r>
          </w:p>
        </w:tc>
        <w:tc>
          <w:tcPr>
            <w:tcW w:type="dxa" w:w="4677"/>
          </w:tcPr>
          <w:p>
            <w:r>
              <w:t>Business hours (Starter/Pro) / 24×5 (Enterprise)</w:t>
            </w:r>
          </w:p>
        </w:tc>
      </w:tr>
    </w:tbl>
    <w:p/>
    <w:p>
      <w:pPr>
        <w:pStyle w:val="Heading1"/>
      </w:pPr>
      <w:r>
        <w:t>Appendix — Diagrams</w:t>
      </w:r>
    </w:p>
    <w:p>
      <w:r>
        <w:t>[Diagram not found: Omni_AI_AP_Agent_Deployment_Architecture.png]</w:t>
      </w:r>
    </w:p>
    <w:p>
      <w:r>
        <w:t>Glossary: AP, PO, GR, OCR, LLM, RFC, OData, ABAP, Z‑table, SIEM, SSO.</w:t>
      </w:r>
    </w:p>
    <w:p>
      <w:r>
        <w:t>Contacts &amp; Escalations: Deployment lead, Support lead, Customer IT owner.</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