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Equation for predicting the probability of win for the </w:t>
      </w:r>
      <w:r w:rsidDel="00000000" w:rsidR="00000000" w:rsidRPr="00000000">
        <w:rPr>
          <w:rtl w:val="0"/>
        </w:rPr>
        <w:t xml:space="preserve">H</w:t>
      </w:r>
      <w:r w:rsidDel="00000000" w:rsidR="00000000" w:rsidRPr="00000000">
        <w:rPr>
          <w:rFonts w:ascii="Calibri" w:cs="Calibri" w:eastAsia="Calibri" w:hAnsi="Calibri"/>
          <w:b w:val="0"/>
          <w:sz w:val="22"/>
          <w:szCs w:val="22"/>
          <w:rtl w:val="0"/>
        </w:rPr>
        <w:t xml:space="preserve">ome team:</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Ln(p(O=2)/1-p(O=2)) = 3.313 + 0.035*(POINTS_H) – 0.035*(POINTS_A) + 1.618*(HTGD) + 0.01*(TOTAL_H_P) – 0.015*(TOTAL_A_P) – 3.320*([FGS=0]) – 2.473*([FGS=1])</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variables of conceding red cards by home or away teams do not influence the outcomes of the match, as they are not significant as per the model output. </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For Match_O = 1,</w:t>
      </w:r>
      <w:r w:rsidDel="00000000" w:rsidR="00000000" w:rsidRPr="00000000">
        <w:rPr>
          <w:rFonts w:ascii="Calibri" w:cs="Calibri" w:eastAsia="Calibri" w:hAnsi="Calibri"/>
          <w:b w:val="0"/>
          <w:sz w:val="22"/>
          <w:szCs w:val="22"/>
          <w:rtl w:val="0"/>
        </w:rPr>
        <w:t xml:space="preserve"> their p-values are 0.599 and 0.391 which are greater than alpha (0.05)</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For Match_O =2, their p-values are 0.275 and 0.072 which are also greater than alpha.</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o, these variables are not considered significant and hence not included in the predicting equation</w:t>
      </w:r>
      <w:r w:rsidDel="00000000" w:rsidR="00000000" w:rsidRPr="00000000">
        <w:rPr>
          <w:rtl w:val="0"/>
        </w:rPr>
        <w:t xml:space="preserve">.</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variable of Total points earned by the home team and away team in previous season is relevant to the equation for predicting the outcome. The reason being as per the model, its p-value is less than alpha, hence the variable is considered significant. </w:t>
      </w:r>
    </w:p>
    <w:p w:rsidR="00000000" w:rsidDel="00000000" w:rsidP="00000000" w:rsidRDefault="00000000" w:rsidRPr="00000000">
      <w:pPr>
        <w:spacing w:after="0" w:before="0" w:line="259" w:lineRule="auto"/>
        <w:ind w:firstLine="720"/>
        <w:contextualSpacing w:val="0"/>
      </w:pPr>
      <w:r w:rsidDel="00000000" w:rsidR="00000000" w:rsidRPr="00000000">
        <w:rPr>
          <w:rFonts w:ascii="Calibri" w:cs="Calibri" w:eastAsia="Calibri" w:hAnsi="Calibri"/>
          <w:b w:val="0"/>
          <w:sz w:val="22"/>
          <w:szCs w:val="22"/>
          <w:rtl w:val="0"/>
        </w:rPr>
        <w:t xml:space="preserve">The variable for home team is in positive direction while the for the away team it is negative direction.</w:t>
        <w:br w:type="textWrapp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Considering the values given:</w:t>
        <w:br w:type="textWrapping"/>
        <w:t xml:space="preserve">HTGD=2, FGS=1, RED_H=0, RED_A=0, POINTS_H=15, POINTS_A=18, TOTAL_H_P=40, TOTAL_A_P=30</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Using the equation with significant variables:</w:t>
        <w:br w:type="textWrapping"/>
        <w:t xml:space="preserve">Ln(p/1-p) = 3.313 + 0.035*15 – 0.035*18 + 1.618*2 + 0.01*</w:t>
      </w:r>
      <w:r w:rsidDel="00000000" w:rsidR="00000000" w:rsidRPr="00000000">
        <w:rPr>
          <w:rtl w:val="0"/>
        </w:rPr>
        <w:t xml:space="preserve">4</w:t>
      </w:r>
      <w:r w:rsidDel="00000000" w:rsidR="00000000" w:rsidRPr="00000000">
        <w:rPr>
          <w:rFonts w:ascii="Calibri" w:cs="Calibri" w:eastAsia="Calibri" w:hAnsi="Calibri"/>
          <w:b w:val="0"/>
          <w:sz w:val="22"/>
          <w:szCs w:val="22"/>
          <w:rtl w:val="0"/>
        </w:rPr>
        <w:t xml:space="preserve">0 – 0.015*</w:t>
      </w:r>
      <w:r w:rsidDel="00000000" w:rsidR="00000000" w:rsidRPr="00000000">
        <w:rPr>
          <w:rtl w:val="0"/>
        </w:rPr>
        <w:t xml:space="preserve">3</w:t>
      </w:r>
      <w:r w:rsidDel="00000000" w:rsidR="00000000" w:rsidRPr="00000000">
        <w:rPr>
          <w:rFonts w:ascii="Calibri" w:cs="Calibri" w:eastAsia="Calibri" w:hAnsi="Calibri"/>
          <w:b w:val="0"/>
          <w:sz w:val="22"/>
          <w:szCs w:val="22"/>
          <w:rtl w:val="0"/>
        </w:rPr>
        <w:t xml:space="preserve">0 – 3.</w:t>
      </w:r>
      <w:r w:rsidDel="00000000" w:rsidR="00000000" w:rsidRPr="00000000">
        <w:rPr>
          <w:rtl w:val="0"/>
        </w:rPr>
        <w:t xml:space="preserve">320</w:t>
      </w:r>
      <w:r w:rsidDel="00000000" w:rsidR="00000000" w:rsidRPr="00000000">
        <w:rPr>
          <w:rFonts w:ascii="Calibri" w:cs="Calibri" w:eastAsia="Calibri" w:hAnsi="Calibri"/>
          <w:b w:val="0"/>
          <w:sz w:val="22"/>
          <w:szCs w:val="22"/>
          <w:rtl w:val="0"/>
        </w:rPr>
        <w:t xml:space="preserve">*0 – 2.</w:t>
      </w:r>
      <w:r w:rsidDel="00000000" w:rsidR="00000000" w:rsidRPr="00000000">
        <w:rPr>
          <w:rtl w:val="0"/>
        </w:rPr>
        <w:t xml:space="preserve">473</w:t>
      </w:r>
      <w:r w:rsidDel="00000000" w:rsidR="00000000" w:rsidRPr="00000000">
        <w:rPr>
          <w:rFonts w:ascii="Calibri" w:cs="Calibri" w:eastAsia="Calibri" w:hAnsi="Calibri"/>
          <w:b w:val="0"/>
          <w:sz w:val="22"/>
          <w:szCs w:val="22"/>
          <w:rtl w:val="0"/>
        </w:rPr>
        <w:t xml:space="preserve">*1 = 3.</w:t>
      </w:r>
      <w:r w:rsidDel="00000000" w:rsidR="00000000" w:rsidRPr="00000000">
        <w:rPr>
          <w:rtl w:val="0"/>
        </w:rPr>
        <w:t xml:space="preserve">921</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p/1-p = e^3.</w:t>
      </w:r>
      <w:r w:rsidDel="00000000" w:rsidR="00000000" w:rsidRPr="00000000">
        <w:rPr>
          <w:rtl w:val="0"/>
        </w:rPr>
        <w:t xml:space="preserve">921</w:t>
      </w: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50.45</w:t>
      </w:r>
      <w:r w:rsidDel="00000000" w:rsidR="00000000" w:rsidRPr="00000000">
        <w:rPr>
          <w:rFonts w:ascii="Calibri" w:cs="Calibri" w:eastAsia="Calibri" w:hAnsi="Calibri"/>
          <w:b w:val="0"/>
          <w:sz w:val="22"/>
          <w:szCs w:val="22"/>
          <w:rtl w:val="0"/>
        </w:rPr>
        <w:tab/>
        <w:t xml:space="preserve">=&gt;</w:t>
        <w:tab/>
        <w:t xml:space="preserve"> p = 0.9</w:t>
      </w:r>
      <w:r w:rsidDel="00000000" w:rsidR="00000000" w:rsidRPr="00000000">
        <w:rPr>
          <w:rtl w:val="0"/>
        </w:rPr>
        <w:t xml:space="preserve">805</w:t>
      </w:r>
      <w:r w:rsidDel="00000000" w:rsidR="00000000" w:rsidRPr="00000000">
        <w:rPr>
          <w:rFonts w:ascii="Calibri" w:cs="Calibri" w:eastAsia="Calibri" w:hAnsi="Calibri"/>
          <w:b w:val="0"/>
          <w:sz w:val="22"/>
          <w:szCs w:val="22"/>
          <w:rtl w:val="0"/>
        </w:rPr>
        <w:t xml:space="preserve"> = 9</w:t>
      </w:r>
      <w:r w:rsidDel="00000000" w:rsidR="00000000" w:rsidRPr="00000000">
        <w:rPr>
          <w:rtl w:val="0"/>
        </w:rPr>
        <w:t xml:space="preserve">8.0</w:t>
      </w:r>
      <w:r w:rsidDel="00000000" w:rsidR="00000000" w:rsidRPr="00000000">
        <w:rPr>
          <w:rFonts w:ascii="Calibri" w:cs="Calibri" w:eastAsia="Calibri" w:hAnsi="Calibri"/>
          <w:b w:val="0"/>
          <w:sz w:val="22"/>
          <w:szCs w:val="22"/>
          <w:rtl w:val="0"/>
        </w:rPr>
        <w:t xml:space="preserve">5%</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Therefore, the probability that the home team will win the match for the given values is </w:t>
      </w:r>
      <w:r w:rsidDel="00000000" w:rsidR="00000000" w:rsidRPr="00000000">
        <w:rPr>
          <w:b w:val="1"/>
          <w:rtl w:val="0"/>
        </w:rPr>
        <w:t xml:space="preserve">98.05%</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Assuming all other variables to be constant and considering the case of first goal scored by away team, t</w:t>
      </w:r>
      <w:r w:rsidDel="00000000" w:rsidR="00000000" w:rsidRPr="00000000">
        <w:rPr>
          <w:rtl w:val="0"/>
        </w:rPr>
        <w:t xml:space="preserve">he probabilities can be calculated as:</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Log</w:t>
      </w: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p1|p0</w:t>
      </w:r>
      <w:r w:rsidDel="00000000" w:rsidR="00000000" w:rsidRPr="00000000">
        <w:rPr>
          <w:rFonts w:ascii="Calibri" w:cs="Calibri" w:eastAsia="Calibri" w:hAnsi="Calibri"/>
          <w:b w:val="0"/>
          <w:sz w:val="22"/>
          <w:szCs w:val="22"/>
          <w:rtl w:val="0"/>
        </w:rPr>
        <w:t xml:space="preserve">) = (3.535 – 3.521) = 0.014 </w:t>
      </w:r>
      <w:r w:rsidDel="00000000" w:rsidR="00000000" w:rsidRPr="00000000">
        <w:rPr>
          <w:rtl w:val="0"/>
        </w:rPr>
        <w:t xml:space="preserve">→ y1</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Log</w:t>
      </w: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p2|p0</w:t>
      </w:r>
      <w:r w:rsidDel="00000000" w:rsidR="00000000" w:rsidRPr="00000000">
        <w:rPr>
          <w:rFonts w:ascii="Calibri" w:cs="Calibri" w:eastAsia="Calibri" w:hAnsi="Calibri"/>
          <w:b w:val="0"/>
          <w:sz w:val="22"/>
          <w:szCs w:val="22"/>
          <w:rtl w:val="0"/>
        </w:rPr>
        <w:t xml:space="preserve">) = (3.313 – 3.320) = -0.007 </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y2</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Therefore,</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p1|p0 = e^y1 = 1.0141</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p2|p0 = e^y2 = 0.9930</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To calculate the probabilities of home team win (2), draw (1), loss (0), the below formulae are used:</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p0 = 1/(1+ e^y2 + e^y1) = 1/(1 + 0.9930 + 1.0141) = 1/(3.0071) = 0.3325</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p1 = e^y1/(1+ e^y2 + e^y1) = 1.0141/(1 + 0.9930 + 1.0141) = 0.3372</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t xml:space="preserve">p2 = e^y2/(1+ e^y2 + e^y1) = 0.9930/(1 + 0.9930 + 1.0141) = 0.3302</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Hence, the probabil</w:t>
      </w:r>
      <w:r w:rsidDel="00000000" w:rsidR="00000000" w:rsidRPr="00000000">
        <w:rPr>
          <w:rtl w:val="0"/>
        </w:rPr>
        <w:t xml:space="preserve">ities of win, draw, loss </w:t>
      </w:r>
      <w:r w:rsidDel="00000000" w:rsidR="00000000" w:rsidRPr="00000000">
        <w:rPr>
          <w:rFonts w:ascii="Calibri" w:cs="Calibri" w:eastAsia="Calibri" w:hAnsi="Calibri"/>
          <w:b w:val="0"/>
          <w:sz w:val="22"/>
          <w:szCs w:val="22"/>
          <w:rtl w:val="0"/>
        </w:rPr>
        <w:t xml:space="preserve">when the away team scores the first goal is around </w:t>
      </w:r>
      <w:r w:rsidDel="00000000" w:rsidR="00000000" w:rsidRPr="00000000">
        <w:rPr>
          <w:rtl w:val="0"/>
        </w:rPr>
        <w:t xml:space="preserve">33</w:t>
      </w:r>
      <w:r w:rsidDel="00000000" w:rsidR="00000000" w:rsidRPr="00000000">
        <w:rPr>
          <w:rFonts w:ascii="Calibri" w:cs="Calibri" w:eastAsia="Calibri" w:hAnsi="Calibri"/>
          <w:b w:val="0"/>
          <w:sz w:val="22"/>
          <w:szCs w:val="22"/>
          <w:rtl w:val="0"/>
        </w:rPr>
        <w:t xml:space="preserve">%, which suggests that it i</w:t>
      </w:r>
      <w:r w:rsidDel="00000000" w:rsidR="00000000" w:rsidRPr="00000000">
        <w:rPr>
          <w:rtl w:val="0"/>
        </w:rPr>
        <w:t xml:space="preserve">s not possible to decide the result of the match based on the first goal scored by the away team.</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From the classification table, the correct percentage values for 1, that is for Draw is very low = 25.5%. That means that only 25.5% of predictions are correct for draws from this model. Hence one should not bet on the draws based on this model output.</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Following are rules that should be used for betting from the CHAID model:</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If HTGD = 0 and First Goal scored by = Away team, then </w:t>
      </w:r>
      <w:r w:rsidDel="00000000" w:rsidR="00000000" w:rsidRPr="00000000">
        <w:rPr>
          <w:rFonts w:ascii="Calibri" w:cs="Calibri" w:eastAsia="Calibri" w:hAnsi="Calibri"/>
          <w:b w:val="1"/>
          <w:sz w:val="22"/>
          <w:szCs w:val="22"/>
          <w:rtl w:val="0"/>
        </w:rPr>
        <w:t xml:space="preserve">Loss </w:t>
      </w:r>
      <w:r w:rsidDel="00000000" w:rsidR="00000000" w:rsidRPr="00000000">
        <w:rPr>
          <w:rFonts w:ascii="Calibri" w:cs="Calibri" w:eastAsia="Calibri" w:hAnsi="Calibri"/>
          <w:b w:val="0"/>
          <w:sz w:val="22"/>
          <w:szCs w:val="22"/>
          <w:rtl w:val="0"/>
        </w:rPr>
        <w:t xml:space="preserve">(Accuracy=49.1%)</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If HTGD = 0 and First Goal scored by = Home team, then </w:t>
      </w:r>
      <w:r w:rsidDel="00000000" w:rsidR="00000000" w:rsidRPr="00000000">
        <w:rPr>
          <w:rFonts w:ascii="Calibri" w:cs="Calibri" w:eastAsia="Calibri" w:hAnsi="Calibri"/>
          <w:b w:val="1"/>
          <w:sz w:val="22"/>
          <w:szCs w:val="22"/>
          <w:rtl w:val="0"/>
        </w:rPr>
        <w:t xml:space="preserve">Draw </w:t>
      </w:r>
      <w:r w:rsidDel="00000000" w:rsidR="00000000" w:rsidRPr="00000000">
        <w:rPr>
          <w:rFonts w:ascii="Calibri" w:cs="Calibri" w:eastAsia="Calibri" w:hAnsi="Calibri"/>
          <w:b w:val="0"/>
          <w:sz w:val="22"/>
          <w:szCs w:val="22"/>
          <w:rtl w:val="0"/>
        </w:rPr>
        <w:t xml:space="preserve">(Accuracy=39.8%)</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If HTGD = 0 and First Goal scored by = None scored a goal, then </w:t>
      </w:r>
      <w:r w:rsidDel="00000000" w:rsidR="00000000" w:rsidRPr="00000000">
        <w:rPr>
          <w:rFonts w:ascii="Calibri" w:cs="Calibri" w:eastAsia="Calibri" w:hAnsi="Calibri"/>
          <w:b w:val="1"/>
          <w:sz w:val="22"/>
          <w:szCs w:val="22"/>
          <w:rtl w:val="0"/>
        </w:rPr>
        <w:t xml:space="preserve">Draw </w:t>
      </w:r>
      <w:r w:rsidDel="00000000" w:rsidR="00000000" w:rsidRPr="00000000">
        <w:rPr>
          <w:rFonts w:ascii="Calibri" w:cs="Calibri" w:eastAsia="Calibri" w:hAnsi="Calibri"/>
          <w:b w:val="0"/>
          <w:sz w:val="22"/>
          <w:szCs w:val="22"/>
          <w:rtl w:val="0"/>
        </w:rPr>
        <w:t xml:space="preserve">(Accuracy=49.7%)</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If HTGD = 1 and Total_H_P &lt;= 67 then </w:t>
      </w:r>
      <w:r w:rsidDel="00000000" w:rsidR="00000000" w:rsidRPr="00000000">
        <w:rPr>
          <w:rFonts w:ascii="Calibri" w:cs="Calibri" w:eastAsia="Calibri" w:hAnsi="Calibri"/>
          <w:b w:val="1"/>
          <w:sz w:val="22"/>
          <w:szCs w:val="22"/>
          <w:rtl w:val="0"/>
        </w:rPr>
        <w:t xml:space="preserve">Win </w:t>
      </w:r>
      <w:r w:rsidDel="00000000" w:rsidR="00000000" w:rsidRPr="00000000">
        <w:rPr>
          <w:rFonts w:ascii="Calibri" w:cs="Calibri" w:eastAsia="Calibri" w:hAnsi="Calibri"/>
          <w:b w:val="0"/>
          <w:sz w:val="22"/>
          <w:szCs w:val="22"/>
          <w:rtl w:val="0"/>
        </w:rPr>
        <w:t xml:space="preserve">(Accuracy=73.5%)</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Fonts w:ascii="Calibri" w:cs="Calibri" w:eastAsia="Calibri" w:hAnsi="Calibri"/>
          <w:b w:val="0"/>
          <w:sz w:val="22"/>
          <w:szCs w:val="22"/>
          <w:rtl w:val="0"/>
        </w:rPr>
        <w:t xml:space="preserve">If HTGD = 1 and Total_H_P &gt; 67 then </w:t>
      </w:r>
      <w:r w:rsidDel="00000000" w:rsidR="00000000" w:rsidRPr="00000000">
        <w:rPr>
          <w:rFonts w:ascii="Calibri" w:cs="Calibri" w:eastAsia="Calibri" w:hAnsi="Calibri"/>
          <w:b w:val="1"/>
          <w:sz w:val="22"/>
          <w:szCs w:val="22"/>
          <w:rtl w:val="0"/>
        </w:rPr>
        <w:t xml:space="preserve">Win </w:t>
      </w:r>
      <w:r w:rsidDel="00000000" w:rsidR="00000000" w:rsidRPr="00000000">
        <w:rPr>
          <w:rFonts w:ascii="Calibri" w:cs="Calibri" w:eastAsia="Calibri" w:hAnsi="Calibri"/>
          <w:b w:val="0"/>
          <w:sz w:val="22"/>
          <w:szCs w:val="22"/>
          <w:rtl w:val="0"/>
        </w:rPr>
        <w:t xml:space="preserve">(Accuracy=91.7%)</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If HTGD = 2,3 or 4, then </w:t>
      </w:r>
      <w:r w:rsidDel="00000000" w:rsidR="00000000" w:rsidRPr="00000000">
        <w:rPr>
          <w:b w:val="1"/>
          <w:rtl w:val="0"/>
        </w:rPr>
        <w:t xml:space="preserve">Win </w:t>
      </w:r>
      <w:r w:rsidDel="00000000" w:rsidR="00000000" w:rsidRPr="00000000">
        <w:rPr>
          <w:rtl w:val="0"/>
        </w:rPr>
        <w:t xml:space="preserve">(Accuracy=93.1%)</w:t>
      </w:r>
      <w:r w:rsidDel="00000000" w:rsidR="00000000" w:rsidRPr="00000000">
        <w:rPr>
          <w:rtl w:val="0"/>
        </w:rPr>
      </w:r>
    </w:p>
    <w:p w:rsidR="00000000" w:rsidDel="00000000" w:rsidP="00000000" w:rsidRDefault="00000000" w:rsidRPr="00000000">
      <w:pPr>
        <w:ind w:left="720" w:firstLine="0"/>
        <w:contextualSpacing w:val="0"/>
      </w:pPr>
      <w:bookmarkStart w:colFirst="0" w:colLast="0" w:name="_g06kvu38b21a" w:id="0"/>
      <w:bookmarkEnd w:id="0"/>
      <w:r w:rsidDel="00000000" w:rsidR="00000000" w:rsidRPr="00000000">
        <w:rPr>
          <w:rtl w:val="0"/>
        </w:rPr>
        <w:t xml:space="preserve">If HTGD = -1 or -4 and Total_A_P &lt;=53 then </w:t>
      </w:r>
      <w:r w:rsidDel="00000000" w:rsidR="00000000" w:rsidRPr="00000000">
        <w:rPr>
          <w:b w:val="1"/>
          <w:rtl w:val="0"/>
        </w:rPr>
        <w:t xml:space="preserve">Loss </w:t>
      </w:r>
      <w:r w:rsidDel="00000000" w:rsidR="00000000" w:rsidRPr="00000000">
        <w:rPr>
          <w:rtl w:val="0"/>
        </w:rPr>
        <w:t xml:space="preserve">(Accuracy=46.1%)</w:t>
        <w:br w:type="textWrapping"/>
        <w:t xml:space="preserve">If HTGD = -1 or -4 and Total_A_P &gt;53 then </w:t>
      </w:r>
      <w:r w:rsidDel="00000000" w:rsidR="00000000" w:rsidRPr="00000000">
        <w:rPr>
          <w:b w:val="1"/>
          <w:rtl w:val="0"/>
        </w:rPr>
        <w:t xml:space="preserve">Loss </w:t>
      </w:r>
      <w:r w:rsidDel="00000000" w:rsidR="00000000" w:rsidRPr="00000000">
        <w:rPr>
          <w:rtl w:val="0"/>
        </w:rPr>
        <w:t xml:space="preserve">(Accuracy=70.9%)</w:t>
        <w:br w:type="textWrapping"/>
        <w:t xml:space="preserve">If HTGD = -2,-3 or -5, then </w:t>
      </w:r>
      <w:r w:rsidDel="00000000" w:rsidR="00000000" w:rsidRPr="00000000">
        <w:rPr>
          <w:b w:val="1"/>
          <w:rtl w:val="0"/>
        </w:rPr>
        <w:t xml:space="preserve">Loss </w:t>
      </w:r>
      <w:r w:rsidDel="00000000" w:rsidR="00000000" w:rsidRPr="00000000">
        <w:rPr>
          <w:rtl w:val="0"/>
        </w:rPr>
        <w:t xml:space="preserve">(Accuracy=91.3%)</w:t>
      </w:r>
    </w:p>
    <w:p w:rsidR="00000000" w:rsidDel="00000000" w:rsidP="00000000" w:rsidRDefault="00000000" w:rsidRPr="00000000">
      <w:pPr>
        <w:ind w:left="720" w:firstLine="0"/>
        <w:contextualSpacing w:val="0"/>
      </w:pPr>
      <w:bookmarkStart w:colFirst="0" w:colLast="0" w:name="_9zndmdcq5s8" w:id="1"/>
      <w:bookmarkEnd w:id="1"/>
      <w:r w:rsidDel="00000000" w:rsidR="00000000" w:rsidRPr="00000000">
        <w:rPr>
          <w:rtl w:val="0"/>
        </w:rPr>
        <w:t xml:space="preserve">8. (Refer Excel sheet)</w:t>
      </w:r>
    </w:p>
    <w:p w:rsidR="00000000" w:rsidDel="00000000" w:rsidP="00000000" w:rsidRDefault="00000000" w:rsidRPr="00000000">
      <w:pPr>
        <w:ind w:left="720" w:firstLine="0"/>
        <w:contextualSpacing w:val="0"/>
      </w:pPr>
      <w:bookmarkStart w:colFirst="0" w:colLast="0" w:name="_3kh2p9ozgaqd" w:id="2"/>
      <w:bookmarkEnd w:id="2"/>
      <w:r w:rsidDel="00000000" w:rsidR="00000000" w:rsidRPr="00000000">
        <w:rPr>
          <w:rtl w:val="0"/>
        </w:rPr>
        <w:t xml:space="preserve">9. (Refer Excel sheet)</w:t>
      </w:r>
    </w:p>
    <w:p w:rsidR="00000000" w:rsidDel="00000000" w:rsidP="00000000" w:rsidRDefault="00000000" w:rsidRPr="00000000">
      <w:pPr>
        <w:ind w:left="720" w:firstLine="0"/>
        <w:contextualSpacing w:val="0"/>
      </w:pPr>
      <w:bookmarkStart w:colFirst="0" w:colLast="0" w:name="_ut1onbx0dajs" w:id="3"/>
      <w:bookmarkEnd w:id="3"/>
      <w:r w:rsidDel="00000000" w:rsidR="00000000" w:rsidRPr="00000000">
        <w:rPr>
          <w:rtl w:val="0"/>
        </w:rPr>
        <w:t xml:space="preserve">10. Peter’s choice:</w:t>
      </w:r>
    </w:p>
    <w:p w:rsidR="00000000" w:rsidDel="00000000" w:rsidP="00000000" w:rsidRDefault="00000000" w:rsidRPr="00000000">
      <w:pPr>
        <w:ind w:left="720" w:firstLine="0"/>
        <w:contextualSpacing w:val="0"/>
      </w:pPr>
      <w:bookmarkStart w:colFirst="0" w:colLast="0" w:name="_umdp6rxssapi" w:id="4"/>
      <w:bookmarkEnd w:id="4"/>
      <w:r w:rsidDel="00000000" w:rsidR="00000000" w:rsidRPr="00000000">
        <w:rPr>
          <w:rtl w:val="0"/>
        </w:rPr>
        <w:t xml:space="preserve">Step 1: Based on the results of the Logistic Regression model, the CHAID tree and comparing these results with the actual outcomes of the 20 matches, the matches whose results are consistent across all three are selected.</w:t>
      </w:r>
    </w:p>
    <w:p w:rsidR="00000000" w:rsidDel="00000000" w:rsidP="00000000" w:rsidRDefault="00000000" w:rsidRPr="00000000">
      <w:pPr>
        <w:ind w:left="720" w:firstLine="0"/>
        <w:contextualSpacing w:val="0"/>
      </w:pPr>
      <w:bookmarkStart w:colFirst="0" w:colLast="0" w:name="_jdvws3g3ecnn" w:id="5"/>
      <w:bookmarkEnd w:id="5"/>
      <w:r w:rsidDel="00000000" w:rsidR="00000000" w:rsidRPr="00000000">
        <w:rPr>
          <w:rtl w:val="0"/>
        </w:rPr>
        <w:t xml:space="preserve">Step 2: Since the accuracy/correct percentage for predicting a loss (i.e. 0) is 79.8% according to Exhibit 8, the below matches numbers remain.</w:t>
      </w:r>
    </w:p>
    <w:tbl>
      <w:tblPr>
        <w:tblStyle w:val="Table1"/>
        <w:bidi w:val="0"/>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Match Number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HTGD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FGS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r>
      <w:tr>
        <w:tc>
          <w:tcPr>
            <w:shd w:fill="fce5c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6</w:t>
            </w:r>
          </w:p>
        </w:tc>
        <w:tc>
          <w:tcPr>
            <w:shd w:fill="fce5c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w:t>
            </w:r>
          </w:p>
        </w:tc>
        <w:tc>
          <w:tcPr>
            <w:shd w:fill="fce5c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c>
          <w:tcPr>
            <w:shd w:fill="fce5cd"/>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0</w:t>
            </w:r>
          </w:p>
        </w:tc>
      </w:tr>
    </w:tbl>
    <w:p w:rsidR="00000000" w:rsidDel="00000000" w:rsidP="00000000" w:rsidRDefault="00000000" w:rsidRPr="00000000">
      <w:pPr>
        <w:ind w:left="720" w:firstLine="0"/>
        <w:contextualSpacing w:val="0"/>
      </w:pPr>
      <w:bookmarkStart w:colFirst="0" w:colLast="0" w:name="_amqf7irh9w93" w:id="6"/>
      <w:bookmarkEnd w:id="6"/>
      <w:r w:rsidDel="00000000" w:rsidR="00000000" w:rsidRPr="00000000">
        <w:rPr>
          <w:rtl w:val="0"/>
        </w:rPr>
      </w:r>
    </w:p>
    <w:p w:rsidR="00000000" w:rsidDel="00000000" w:rsidP="00000000" w:rsidRDefault="00000000" w:rsidRPr="00000000">
      <w:pPr>
        <w:ind w:left="720" w:firstLine="0"/>
        <w:contextualSpacing w:val="0"/>
      </w:pPr>
      <w:bookmarkStart w:colFirst="0" w:colLast="0" w:name="_mh8aq662htq" w:id="7"/>
      <w:bookmarkEnd w:id="7"/>
      <w:r w:rsidDel="00000000" w:rsidR="00000000" w:rsidRPr="00000000">
        <w:rPr>
          <w:rtl w:val="0"/>
        </w:rPr>
        <w:t xml:space="preserve">Step 3: Based on Exhibit 5, the maximum number of losses for the Home team based on HTGD are for value of HTGD = -1</w:t>
      </w:r>
    </w:p>
    <w:p w:rsidR="00000000" w:rsidDel="00000000" w:rsidP="00000000" w:rsidRDefault="00000000" w:rsidRPr="00000000">
      <w:pPr>
        <w:ind w:left="720" w:firstLine="0"/>
        <w:contextualSpacing w:val="0"/>
      </w:pPr>
      <w:bookmarkStart w:colFirst="0" w:colLast="0" w:name="_gjdgxs" w:id="8"/>
      <w:bookmarkEnd w:id="8"/>
      <w:r w:rsidDel="00000000" w:rsidR="00000000" w:rsidRPr="00000000">
        <w:rPr>
          <w:rtl w:val="0"/>
        </w:rPr>
        <w:t xml:space="preserve">So, there is a higher chance of Peter making the most out of betting on Match number 6.</w:t>
      </w:r>
    </w:p>
    <w:sectPr>
      <w:pgSz w:h="15840" w:w="12240"/>
      <w:pgMar w:bottom="450" w:top="360" w:left="810" w:right="6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