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Vivek Vikram Singh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54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d85c6"/>
          <w:sz w:val="20"/>
          <w:szCs w:val="20"/>
          <w:highlight w:val="white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New York (Open to Relocation) |</w:t>
      </w:r>
      <w:r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</w:t>
      </w:r>
      <w:hyperlink r:id="rId7">
        <w:r>
          <w:rPr>
            <w:rFonts w:ascii="Times New Roman" w:cs="Times New Roman" w:eastAsia="Times New Roman" w:hAnsi="Times New Roman"/>
            <w:color w:val="3d85c6"/>
            <w:sz w:val="20"/>
            <w:szCs w:val="20"/>
            <w:u w:val="single"/>
            <w:rtl w:val="0"/>
          </w:rPr>
          <w:t xml:space="preserve">vivekvikramsingh.in@gmail.com</w:t>
        </w:r>
      </w:hyperlink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(413) 829 8010</w:t>
      </w:r>
      <w:r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 | </w:t>
      </w:r>
      <w:hyperlink r:id="rId8">
        <w:r>
          <w:rPr>
            <w:rFonts w:ascii="Times New Roman" w:cs="Times New Roman" w:eastAsia="Times New Roman" w:hAnsi="Times New Roman"/>
            <w:color w:val="3d85c6"/>
            <w:sz w:val="20"/>
            <w:szCs w:val="20"/>
            <w:u w:val="single"/>
            <w:rtl w:val="0"/>
          </w:rPr>
          <w:t xml:space="preserve">LinkedIn</w:t>
        </w:r>
      </w:hyperlink>
      <w:r>
        <w:rPr>
          <w:rFonts w:ascii="Times New Roman" w:cs="Times New Roman" w:eastAsia="Times New Roman" w:hAnsi="Times New Roman"/>
          <w:sz w:val="20"/>
          <w:szCs w:val="20"/>
          <w:u w:val="none"/>
          <w:rtl w:val="0"/>
        </w:rPr>
        <w:t xml:space="preserve"> | </w:t>
      </w:r>
      <w:hyperlink r:id="rId9">
        <w:r>
          <w:rPr>
            <w:rFonts w:ascii="Times New Roman" w:cs="Times New Roman" w:eastAsia="Times New Roman" w:hAnsi="Times New Roman"/>
            <w:color w:val="3d85c6"/>
            <w:sz w:val="20"/>
            <w:szCs w:val="20"/>
            <w:u w:val="single"/>
            <w:rtl w:val="0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20"/>
          <w:szCs w:val="20"/>
          <w:u w:val="none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54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PROFESSIONAL SUMMARY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48.00000000000001" w:lineRule="auto"/>
        <w:ind w:left="540" w:firstLine="0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00" w:line="240" w:lineRule="auto"/>
        <w:ind w:left="54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I'm a Data Analyst with 3 years at Accenture supporting a Fortune 500 insurance client across SQL, Python, and Power BI. I designed a 12-table AWS database that cut processing time by 40% and built dashboards that eliminated entire cycles of manual Excel reporting. I don't just analyze data, I build systems that make insights accessible to people who don't live in spreadsheets. Now I'm looking to bring that instinct for scalable, stakeholder-ready analytics to a high-impact role.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54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48.00000000000001" w:lineRule="auto"/>
        <w:ind w:left="540" w:firstLine="0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University of Massachusetts, Amherst (Isenberg School of Management)</w:t>
        <w:tab/>
        <w:t xml:space="preserve">        </w:t>
        <w:tab/>
        <w:t xml:space="preserve">           </w:t>
      </w:r>
      <w:r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2024 -  May 2026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Master of Science in Business Analytics – Business Analyst | Quantitative Analyst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 xml:space="preserve">              </w:t>
        <w:tab/>
        <w:t xml:space="preserve">                   </w:t>
        <w:tab/>
        <w:tab/>
        <w:tab/>
        <w:t xml:space="preserve">       </w:t>
      </w:r>
      <w:r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GPA: 3.9/4.0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Manipal University Jaipur, Rajasthan, India                                                                             </w:t>
        <w:tab/>
        <w:t xml:space="preserve">    </w:t>
      </w:r>
      <w:r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July 2017 -  July  2021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54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Technology in Electronics and Communication Engineering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54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EXPERIENCE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48.00000000000001" w:lineRule="auto"/>
        <w:ind w:left="540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0" w:line="265.0454521179199" w:lineRule="auto"/>
        <w:ind w:left="54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Business Architecture Analyst (Data &amp; Analytics) </w:t>
      </w:r>
      <w:r>
        <w:rPr>
          <w:rFonts w:ascii="Times New Roman" w:cs="Times New Roman" w:eastAsia="Times New Roman" w:hAnsi="Times New Roman"/>
          <w:highlight w:val="white"/>
          <w:rtl w:val="0"/>
        </w:rPr>
        <w:t xml:space="preserve">,</w:t>
      </w:r>
      <w:r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Accenture, India                                          </w:t>
      </w:r>
      <w:r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June 2021 - July 2024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centralized form inventory system on AWS RDS (MySQL) that cut quarterly processing time by 40% (4 Weeks) across 3+ business units during a Waterfall-to-Agile transition, by designing a 12-table schema and PowerApps requirements to consolidate thousands of production forms.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90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complex SQL queries (joins, aggregations, window functions) on AWS-hosted datasets to analyze operational records, monitor KPIs and SLA compliance, contributing to $300K in cumulative operational efficiency gains.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automated Python scripts to extract and clean operational data from SQL databases and shared drives, replacing manual Excel-based cleaning and saving 4-5 hours per cycle for consistent dashboard reporting.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EDA on 50K+ claims records in Python, replacing Excel-based analysis, identifying 15% data quality gaps and implementing automated validation checks to improve accuracy for leadership decisions.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deployed self-service Power BI dashboards adopted by 25+ Accenture and client users across 5 departments, enabling teams to independently monitor KPIs, workflows, and turnaround times, eliminating dependency on manual Excel reporting and ad-hoc analyst requests.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0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Partnered with business, compliance, and operational stakeholders to gather requirements, draft BRDs, and define reporting logic using structured working sessions and user flow diagrams to reduce ambiguity and rework.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54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PROJECTS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48.00000000000001" w:lineRule="auto"/>
        <w:ind w:left="540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54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Customer Analytics &amp; KPI Dashboard (E‑commerce)</w:t>
        <w:tab/>
        <w:tab/>
        <w:tab/>
        <w:tab/>
        <w:t xml:space="preserve">            </w:t>
      </w:r>
      <w:r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February 2026 -  May 2026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900" w:hanging="360"/>
        <w:jc w:val="both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Identified revenue concentration risk and growth opportunity across $500K+ in e-commerce sales by performing RFM segmentation on 734 customers, surfacing 119 Champions driving 31.5% of revenue and 48 At-Risk high-value accounts requiring targeted intervention.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0" w:line="240" w:lineRule="auto"/>
        <w:ind w:left="900" w:hanging="360"/>
        <w:jc w:val="both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Assessed marketing ROI across 6 advertising platforms, calculating Return on Ad Spend (ROAS) by platform and channel to recommend budget reallocation strategies for improved customer acquisition efficiency and profitability optimization.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0"/>
        <w:spacing w:after="0" w:before="0" w:line="240" w:lineRule="auto"/>
        <w:ind w:left="90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87m9h5mk7zwr" w:id="0"/>
      <w:bookmarkEnd w:id="0"/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Airbnb Review Sentiment &amp; Pricing Analytics </w:t>
        <w:tab/>
        <w:tab/>
        <w:tab/>
        <w:tab/>
        <w:tab/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            February 2026 -  May 2026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90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Analyzed 60K Airbnb reviews and listing records using NLP techniques including TF-IDF, LDA topic modeling, and DistilBERT sentiment scoring to extract guest experience signals from unstructured text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90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Engineered 100+ features from categorical, geospatial, and text-derived data, built and compared Ridge Regression and Neural Network (Keras) models to predict listing prices, achieving R² of 0.58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line="240" w:lineRule="auto"/>
        <w:ind w:left="90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Derived actionable pricing insights by correlating average sentiment scores with listing prices across Vienna neighbourhoods, identifying key drivers of revenue performance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0" w:line="240" w:lineRule="auto"/>
        <w:ind w:left="90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xorlbhxxur69" w:id="1"/>
      <w:bookmarkEnd w:id="1"/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Consumer Lending Default Risk Analysis (Lending Club)</w:t>
        <w:tab/>
        <w:tab/>
        <w:tab/>
        <w:tab/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September 2025 -  December 2025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900" w:hanging="360"/>
        <w:jc w:val="both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Examined 40K Lending Club loan records using Python to identify default risk patterns across borrower profiles and credit grades, detecting high-risk segments with default rates 10-16% above average.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line="240" w:lineRule="auto"/>
        <w:ind w:left="900" w:hanging="360"/>
        <w:jc w:val="both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data visualizations using Matplotlib and Seaborn to communicate risk patterns across DTI ratios, employment characteristics, and loan purposes, enabling targeted mitigation strategies.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54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ACHIEVEMENTS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48.00000000000001" w:lineRule="auto"/>
        <w:ind w:left="54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Pinnacle Award - Q1’24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>
        <w:rPr>
          <w:rFonts w:ascii="Times New Roman" w:cs="Times New Roman" w:eastAsia="Times New Roman" w:hAnsi="Times New Roman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Recognized for auditing and documenting 3,000+ production forms across Auto, Property, PAF, and PLUS product lines to establish a centralized inventory for the Central Support Unit.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0" w:line="240" w:lineRule="auto"/>
        <w:ind w:left="54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Trailblazer Award - Q2’23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>
        <w:rPr>
          <w:rFonts w:ascii="Times New Roman" w:cs="Times New Roman" w:eastAsia="Times New Roman" w:hAnsi="Times New Roman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Awarded for building a centralized form inventory system on AWS RDS that cut quarterly processing time by 40% across 3+ business units during a Waterfall-to-Agile transition.</w:t>
      </w:r>
    </w:p>
    <w:p w:rsidR="00000000" w:rsidDel="00000000" w:rsidP="00000000" w:rsidRDefault="00000000" w:rsidRPr="00000000" w14:paraId="00000026">
      <w:pPr>
        <w:widowControl w:val="0"/>
        <w:spacing w:before="0" w:line="240" w:lineRule="auto"/>
        <w:ind w:left="54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54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TECHNICAL SKILLS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48.00000000000001" w:lineRule="auto"/>
        <w:ind w:left="54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54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Technical Stack: </w:t>
      </w: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(MySQL - joins, CTEs, window functions, subqueries), Python (Pandas, NumPy, Scikit-learn, Matplotlib, Seaborn, Data Instrumentation), Power BI (DAX, Power Query), Tableau, Excel (Advanced), Power Apps.</w:t>
      </w:r>
    </w:p>
    <w:p w:rsidR="00000000" w:rsidDel="00000000" w:rsidP="00000000" w:rsidRDefault="00000000" w:rsidRPr="00000000" w14:paraId="0000002A">
      <w:pPr>
        <w:spacing w:line="240" w:lineRule="auto"/>
        <w:ind w:left="54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Analytics &amp; Methods: </w:t>
      </w: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Product Analytics, User Behavior Analysis, Cohort Analysis, RFM Segmentation, Statistical Analysis, Predictive Modeling, Data Validation, KPI Development, Trend Analysis, Root Cause Analysis, Funnel Analysis.</w:t>
      </w:r>
    </w:p>
    <w:p w:rsidR="00000000" w:rsidDel="00000000" w:rsidP="00000000" w:rsidRDefault="00000000" w:rsidRPr="00000000" w14:paraId="0000002B">
      <w:pPr>
        <w:spacing w:after="200" w:line="240" w:lineRule="auto"/>
        <w:ind w:left="54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Business Tools: </w:t>
      </w: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RDS, ETL, Workflow Automation, Stakeholder Management, Agile/Jira,  Requirements Gathering, Process Improvement, Data Modeling (relational schema design, star schema).</w:t>
      </w:r>
    </w:p>
    <w:sectPr>
      <w:pgSz w:h="16838" w:w="11906" w:orient="portrait"/>
      <w:pgMar w:bottom="14.399999999999999" w:top="14.399999999999999" w:left="302.4" w:right="8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ivekvikramsingh.in@gmail.com" TargetMode="External"/><Relationship Id="rId8" Type="http://schemas.openxmlformats.org/officeDocument/2006/relationships/hyperlink" Target="https://www.linkedin.com/in/vivekvikrams" TargetMode="External"/><Relationship Id="rId9" Type="http://schemas.openxmlformats.org/officeDocument/2006/relationships/hyperlink" Target="https://github.com/vvs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g/FSwzlXPUCW1/Mm5OYJZH0o7Q==">CgMxLjAyDmguODdtOWg1bWs3endyMg5oLnhvcmxiaHh4dXI2OTgAciExZXp1R1FrZnRMdmFnU29lRXh1NVVaOGNwaW5GaXRUSlA=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