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6.jpg" ContentType="image/jpeg"/>
  <Override PartName="/word/media/rId29.jpg" ContentType="image/jpeg"/>
  <Override PartName="/word/media/rId47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об</w:t>
      </w:r>
      <w:r>
        <w:t xml:space="preserve"> </w:t>
      </w:r>
      <w:r>
        <w:t xml:space="preserve">армиях</w:t>
      </w:r>
    </w:p>
    <w:p>
      <w:pPr>
        <w:pStyle w:val="Author"/>
      </w:pPr>
      <w:r>
        <w:t xml:space="preserve">Саттарова</w:t>
      </w:r>
      <w:r>
        <w:t xml:space="preserve"> </w:t>
      </w:r>
      <w:r>
        <w:t xml:space="preserve">Вита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Построить 2 модели боевых действий: между регулярными войсками и между регулярными войсками с участием партизанских отрядов, используя Julia и OpenModelica.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Вариант 66</w:t>
      </w:r>
      <w:r>
        <w:t xml:space="preserve"> </w:t>
      </w:r>
      <w:r>
        <w:t xml:space="preserve">Задание. (рис. fig. </w:t>
      </w:r>
      <w:r>
        <w:rPr>
          <w:bCs/>
          <w:b/>
        </w:rPr>
        <w:t xml:space="preserve">¿fig:000?</w:t>
      </w:r>
      <w:r>
        <w:t xml:space="preserve">)</w:t>
      </w:r>
      <w:r>
        <w:t xml:space="preserve"> </w:t>
      </w:r>
      <w:bookmarkStart w:id="22" w:name="fig:000"/>
      <w:r>
        <w:drawing>
          <wp:inline>
            <wp:extent cx="4998720" cy="4404360"/>
            <wp:effectExtent b="0" l="0" r="0" t="0"/>
            <wp:docPr descr="Задание" title="" id="1" name="Picture"/>
            <a:graphic>
              <a:graphicData uri="http://schemas.openxmlformats.org/drawingml/2006/picture">
                <pic:pic>
                  <pic:nvPicPr>
                    <pic:cNvPr descr="image/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bookmarkEnd w:id="23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Рассмотрим некоторые простейшие модели боевых действий – модели Ланчестера. В противоборстве могут принимать участие как регулярные войска, так и партизанские отряды. В общем случае главной характеристикой соперников являются численности сторон. Если в какой-то момент времени одна из численностей обращается в нуль, то данная сторона считается проигравшей (при условии, что численность другой стороны в данный момент положительна).</w:t>
      </w:r>
      <w:r>
        <w:t xml:space="preserve"> </w:t>
      </w:r>
      <w:r>
        <w:t xml:space="preserve">Рассмотри два случая ведения боевых действий:</w:t>
      </w:r>
      <w:r>
        <w:t xml:space="preserve"> </w:t>
      </w:r>
      <w:r>
        <w:t xml:space="preserve">1. Боевые действия между регулярными войсками</w:t>
      </w:r>
      <w:r>
        <w:t xml:space="preserve"> </w:t>
      </w:r>
      <w:r>
        <w:t xml:space="preserve">1. Боевые действия с участием регулярных войск и партизанских отрядов</w:t>
      </w:r>
      <w:r>
        <w:t xml:space="preserve"> </w:t>
      </w:r>
      <w:r>
        <w:t xml:space="preserve">В первом случае численность регулярных войск определяется тремя</w:t>
      </w:r>
      <w:r>
        <w:t xml:space="preserve"> </w:t>
      </w:r>
      <w:r>
        <w:t xml:space="preserve">факторами:</w:t>
      </w:r>
      <w:r>
        <w:t xml:space="preserve"> </w:t>
      </w:r>
      <w:r>
        <w:t xml:space="preserve">- скорость уменьшения численности войск из-за причин, не связанных с боевыми действиями (болезни, травмы, дезертирство);</w:t>
      </w:r>
      <w:r>
        <w:t xml:space="preserve"> </w:t>
      </w:r>
      <w:r>
        <w:t xml:space="preserve">- скорость потерь, обусловленных боевыми действиями противоборствующих сторон (что связанно с качеством стратегии, уровнем вооружения, профессионализмом солдат и т.п.);</w:t>
      </w:r>
      <w:r>
        <w:t xml:space="preserve"> </w:t>
      </w:r>
      <w:r>
        <w:t xml:space="preserve">- скорость поступления подкрепления (задаётся некоторой функцией от времени).</w:t>
      </w:r>
      <w:r>
        <w:t xml:space="preserve"> </w:t>
      </w:r>
      <w:r>
        <w:t xml:space="preserve">В этом случае модель боевых действий между регулярными войсками описывается следующим образом (рис. fig. 1)</w:t>
      </w:r>
    </w:p>
    <w:p>
      <w:pPr>
        <w:pStyle w:val="CaptionedFigure"/>
      </w:pPr>
      <w:bookmarkStart w:id="25" w:name="fig:0001"/>
      <w:r>
        <w:drawing>
          <wp:inline>
            <wp:extent cx="5334000" cy="1989163"/>
            <wp:effectExtent b="0" l="0" r="0" t="0"/>
            <wp:docPr descr="Figure 1: Формулы 1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Формулы 1</w:t>
      </w:r>
    </w:p>
    <w:p>
      <w:pPr>
        <w:pStyle w:val="BodyText"/>
      </w:pPr>
      <w:r>
        <w:t xml:space="preserve">Потери, не связанные с боевыми действиями, описывают члены -a(t)x(t) и -h(t)x(t), члены -b(t)x(t) и -c(t)x(t) отражают потери на поле боя.</w:t>
      </w:r>
      <w:r>
        <w:t xml:space="preserve"> </w:t>
      </w:r>
      <w:r>
        <w:t xml:space="preserve">Коэффициенты b(t) и c(t) указывают на эффективность боевых действий со стороны у и х соответственно, a(t), h(t) - величины, характеризующие степень влияния различных факторов на потери. (рис. fig. 1) |</w:t>
      </w:r>
    </w:p>
    <w:p>
      <w:pPr>
        <w:pStyle w:val="CaptionedFigure"/>
      </w:pPr>
      <w:bookmarkStart w:id="27" w:name="fig:0002"/>
      <w:r>
        <w:drawing>
          <wp:inline>
            <wp:extent cx="5334000" cy="1964403"/>
            <wp:effectExtent b="0" l="0" r="0" t="0"/>
            <wp:docPr descr="Figure 2: Формулы 2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Формулы 2</w:t>
      </w:r>
    </w:p>
    <w:p>
      <w:pPr>
        <w:pStyle w:val="BodyText"/>
      </w:pPr>
      <w:r>
        <w:t xml:space="preserve">Более подробно см. в справочнике на сайте ТУИС на странице курса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 </w:t>
      </w:r>
      <w:r>
        <w:t xml:space="preserve">[1].</w:t>
      </w:r>
    </w:p>
    <w:bookmarkEnd w:id="28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Написала код задачи для модели 1 на Julia. (рис. fig. 3)</w:t>
      </w:r>
    </w:p>
    <w:p>
      <w:pPr>
        <w:pStyle w:val="CaptionedFigure"/>
      </w:pPr>
      <w:bookmarkStart w:id="30" w:name="fig:001"/>
      <w:r>
        <w:drawing>
          <wp:inline>
            <wp:extent cx="5334000" cy="3456320"/>
            <wp:effectExtent b="0" l="0" r="0" t="0"/>
            <wp:docPr descr="Figure 3: Задача модель 1 Julia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3: Задача модель 1 Julia</w:t>
      </w:r>
    </w:p>
    <w:p>
      <w:pPr>
        <w:numPr>
          <w:ilvl w:val="0"/>
          <w:numId w:val="1002"/>
        </w:numPr>
        <w:pStyle w:val="Compact"/>
      </w:pPr>
      <w:r>
        <w:t xml:space="preserve">Создала график для модели 1. (рис. fig. 4)</w:t>
      </w:r>
    </w:p>
    <w:p>
      <w:pPr>
        <w:pStyle w:val="CaptionedFigure"/>
      </w:pPr>
      <w:bookmarkStart w:id="32" w:name="fig:002"/>
      <w:r>
        <w:drawing>
          <wp:inline>
            <wp:extent cx="5334000" cy="3082954"/>
            <wp:effectExtent b="0" l="0" r="0" t="0"/>
            <wp:docPr descr="Figure 4: Код график 1 Julia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Код график 1 Julia</w:t>
      </w:r>
    </w:p>
    <w:p>
      <w:pPr>
        <w:numPr>
          <w:ilvl w:val="0"/>
          <w:numId w:val="1003"/>
        </w:numPr>
        <w:pStyle w:val="Compact"/>
      </w:pPr>
      <w:r>
        <w:t xml:space="preserve">Сам график. (рис. fig. 5)</w:t>
      </w:r>
    </w:p>
    <w:p>
      <w:pPr>
        <w:pStyle w:val="CaptionedFigure"/>
      </w:pPr>
      <w:bookmarkStart w:id="34" w:name="fig:003"/>
      <w:r>
        <w:drawing>
          <wp:inline>
            <wp:extent cx="5334000" cy="2938732"/>
            <wp:effectExtent b="0" l="0" r="0" t="0"/>
            <wp:docPr descr="Figure 5: график 1 Julia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график 1 Julia</w:t>
      </w:r>
    </w:p>
    <w:p>
      <w:pPr>
        <w:numPr>
          <w:ilvl w:val="0"/>
          <w:numId w:val="1004"/>
        </w:numPr>
        <w:pStyle w:val="Compact"/>
      </w:pPr>
      <w:r>
        <w:t xml:space="preserve">Написала код задачи для модели 2 на Julia. (рис. fig. 6)</w:t>
      </w:r>
    </w:p>
    <w:p>
      <w:pPr>
        <w:pStyle w:val="CaptionedFigure"/>
      </w:pPr>
      <w:bookmarkStart w:id="36" w:name="fig:004"/>
      <w:r>
        <w:drawing>
          <wp:inline>
            <wp:extent cx="5334000" cy="2934403"/>
            <wp:effectExtent b="0" l="0" r="0" t="0"/>
            <wp:docPr descr="Figure 6: Задача модель 2 Julia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Задача модель 2 Julia</w:t>
      </w:r>
    </w:p>
    <w:p>
      <w:pPr>
        <w:numPr>
          <w:ilvl w:val="0"/>
          <w:numId w:val="1005"/>
        </w:numPr>
        <w:pStyle w:val="Compact"/>
      </w:pPr>
      <w:r>
        <w:t xml:space="preserve">Создала график для модели 2. (рис. fig. 7)</w:t>
      </w:r>
    </w:p>
    <w:p>
      <w:pPr>
        <w:pStyle w:val="CaptionedFigure"/>
      </w:pPr>
      <w:bookmarkStart w:id="38" w:name="fig:005"/>
      <w:r>
        <w:drawing>
          <wp:inline>
            <wp:extent cx="5334000" cy="2747818"/>
            <wp:effectExtent b="0" l="0" r="0" t="0"/>
            <wp:docPr descr="Figure 7: Код график 2 Julia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Код график 2 Julia</w:t>
      </w:r>
    </w:p>
    <w:p>
      <w:pPr>
        <w:numPr>
          <w:ilvl w:val="0"/>
          <w:numId w:val="1006"/>
        </w:numPr>
        <w:pStyle w:val="Compact"/>
      </w:pPr>
      <w:r>
        <w:t xml:space="preserve">Сам график. (рис. fig. 8)</w:t>
      </w:r>
    </w:p>
    <w:p>
      <w:pPr>
        <w:pStyle w:val="CaptionedFigure"/>
      </w:pPr>
      <w:bookmarkStart w:id="40" w:name="fig:006"/>
      <w:r>
        <w:drawing>
          <wp:inline>
            <wp:extent cx="5334000" cy="2907552"/>
            <wp:effectExtent b="0" l="0" r="0" t="0"/>
            <wp:docPr descr="Figure 8: график 2 Julia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график 2 Julia</w:t>
      </w:r>
    </w:p>
    <w:p>
      <w:pPr>
        <w:numPr>
          <w:ilvl w:val="0"/>
          <w:numId w:val="1007"/>
        </w:numPr>
        <w:pStyle w:val="Compact"/>
      </w:pPr>
      <w:r>
        <w:t xml:space="preserve">Написала код задачи для модели 1 на OpenModelica. (рис. fig. 9)</w:t>
      </w:r>
    </w:p>
    <w:p>
      <w:pPr>
        <w:pStyle w:val="CaptionedFigure"/>
      </w:pPr>
      <w:bookmarkStart w:id="42" w:name="fig:007"/>
      <w:r>
        <w:drawing>
          <wp:inline>
            <wp:extent cx="5334000" cy="2918603"/>
            <wp:effectExtent b="0" l="0" r="0" t="0"/>
            <wp:docPr descr="Figure 9: Задача модель 1 OpenModelica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Задача модель 1 OpenModelica</w:t>
      </w:r>
    </w:p>
    <w:p>
      <w:pPr>
        <w:numPr>
          <w:ilvl w:val="0"/>
          <w:numId w:val="1008"/>
        </w:numPr>
        <w:pStyle w:val="Compact"/>
      </w:pPr>
      <w:r>
        <w:t xml:space="preserve">Создала график для модели 1. (рис. fig. 10)</w:t>
      </w:r>
    </w:p>
    <w:p>
      <w:pPr>
        <w:pStyle w:val="CaptionedFigure"/>
      </w:pPr>
      <w:bookmarkStart w:id="44" w:name="fig:008"/>
      <w:r>
        <w:drawing>
          <wp:inline>
            <wp:extent cx="5334000" cy="2490792"/>
            <wp:effectExtent b="0" l="0" r="0" t="0"/>
            <wp:docPr descr="Figure 10: Код график 1 OpenModelica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Код график 1 OpenModelica</w:t>
      </w:r>
    </w:p>
    <w:p>
      <w:pPr>
        <w:numPr>
          <w:ilvl w:val="0"/>
          <w:numId w:val="1009"/>
        </w:numPr>
        <w:pStyle w:val="Compact"/>
      </w:pPr>
      <w:r>
        <w:t xml:space="preserve">Написала код задачи для модели 2 на OpenModelica. (рис. fig. 11)</w:t>
      </w:r>
    </w:p>
    <w:p>
      <w:pPr>
        <w:pStyle w:val="CaptionedFigure"/>
      </w:pPr>
      <w:bookmarkStart w:id="46" w:name="fig:009"/>
      <w:r>
        <w:drawing>
          <wp:inline>
            <wp:extent cx="5334000" cy="2760853"/>
            <wp:effectExtent b="0" l="0" r="0" t="0"/>
            <wp:docPr descr="Figure 11: Задача модель 2 OpenModelica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11: Задача модель 2 OpenModelica</w:t>
      </w:r>
    </w:p>
    <w:p>
      <w:pPr>
        <w:numPr>
          <w:ilvl w:val="0"/>
          <w:numId w:val="1010"/>
        </w:numPr>
        <w:pStyle w:val="Compact"/>
      </w:pPr>
      <w:r>
        <w:t xml:space="preserve">Создала график для модели 2. (рис. fig. </w:t>
      </w:r>
      <w:r>
        <w:rPr>
          <w:bCs/>
          <w:b/>
        </w:rPr>
        <w:t xml:space="preserve">¿fig:010?</w:t>
      </w:r>
      <w:r>
        <w:t xml:space="preserve">)</w:t>
      </w:r>
    </w:p>
    <w:p>
      <w:pPr>
        <w:pStyle w:val="FirstParagraph"/>
      </w:pPr>
      <w:bookmarkStart w:id="48" w:name="fig:010"/>
      <w:r>
        <w:drawing>
          <wp:inline>
            <wp:extent cx="5334000" cy="3032298"/>
            <wp:effectExtent b="0" l="0" r="0" t="0"/>
            <wp:docPr descr="Код график 2 OpenModelica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работы удалось создать 2 модели боевых действий на Julia и OpenModelica, изобразить изменение количества войск на графиках.</w:t>
      </w:r>
    </w:p>
    <w:bookmarkEnd w:id="49"/>
    <w:bookmarkStart w:id="5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Справочная информация для лабораторной работы 3 в ТУИС на курсе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 </w:t>
      </w:r>
      <w:r>
        <w:t xml:space="preserve">URL: https://esystem.rudn.ru/pluginfile.php/1971652/mod_resource/content/2/%D0%9B%D0%B0%D0%B1%D0%BE%D1%80%D0%B0%D1%82%D0%BE%D1%80%D0%BD%D0%B0%D1%8F%20%D1%80%D0%B0%D0%B1%D0%BE%D1%82%D0%B0%20%E2%84%96%202.pdf.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47" Target="media/rId47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Саттарова Вита Викторовна</dc:creator>
  <dc:language>ru-RU</dc:language>
  <cp:keywords/>
  <dcterms:created xsi:type="dcterms:W3CDTF">2023-02-25T19:53:19Z</dcterms:created>
  <dcterms:modified xsi:type="dcterms:W3CDTF">2023-02-25T19:53:19Z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Задача об армиях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  <property fmtid="{D5CDD505-2E9C-101B-9397-08002B2CF9AE}" pid="79" name="year">
    <vt:lpwstr>2023</vt:lpwstr>
  </property>
</Properties>
</file>