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D37A67">
      <w:pPr>
        <w:spacing w:line="360" w:lineRule="auto"/>
        <w:jc w:val="center"/>
      </w:pPr>
      <w:r>
        <w:drawing>
          <wp:inline distT="0" distB="0" distL="0" distR="0">
            <wp:extent cx="2702560" cy="830580"/>
            <wp:effectExtent l="0" t="0" r="254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707537" cy="832092"/>
                    </a:xfrm>
                    <a:prstGeom prst="rect">
                      <a:avLst/>
                    </a:prstGeom>
                    <a:noFill/>
                  </pic:spPr>
                </pic:pic>
              </a:graphicData>
            </a:graphic>
          </wp:inline>
        </w:drawing>
      </w:r>
    </w:p>
    <w:p w14:paraId="650BBC4C">
      <w:pPr>
        <w:spacing w:line="360" w:lineRule="auto"/>
        <w:jc w:val="center"/>
      </w:pPr>
    </w:p>
    <w:p w14:paraId="0E43AB9E">
      <w:pPr>
        <w:spacing w:line="360" w:lineRule="auto"/>
        <w:ind w:right="240"/>
        <w:jc w:val="right"/>
        <w:rPr>
          <w:b/>
          <w:bCs/>
          <w:sz w:val="48"/>
          <w:szCs w:val="48"/>
        </w:rPr>
      </w:pPr>
    </w:p>
    <w:p w14:paraId="551B977A">
      <w:pPr>
        <w:spacing w:line="360" w:lineRule="auto"/>
        <w:ind w:right="240"/>
        <w:jc w:val="right"/>
        <w:rPr>
          <w:b/>
          <w:bCs/>
          <w:sz w:val="48"/>
          <w:szCs w:val="48"/>
        </w:rPr>
      </w:pPr>
    </w:p>
    <w:p w14:paraId="1E8EFD50">
      <w:pPr>
        <w:spacing w:line="360" w:lineRule="auto"/>
        <w:ind w:right="240"/>
        <w:jc w:val="right"/>
        <w:rPr>
          <w:b/>
          <w:bCs/>
          <w:sz w:val="48"/>
          <w:szCs w:val="48"/>
        </w:rPr>
      </w:pPr>
    </w:p>
    <w:p w14:paraId="6E989F4E">
      <w:pPr>
        <w:pStyle w:val="17"/>
        <w:spacing w:line="360" w:lineRule="auto"/>
        <w:jc w:val="center"/>
        <w:rPr>
          <w:rFonts w:ascii="Times New Roman" w:hAnsi="Times New Roman" w:cs="Times New Roman"/>
          <w:bCs/>
        </w:rPr>
      </w:pPr>
      <w:r>
        <w:rPr>
          <w:rFonts w:ascii="Times New Roman" w:hAnsi="Times New Roman" w:cs="Times New Roman"/>
        </w:rPr>
        <w:fldChar w:fldCharType="begin"/>
      </w:r>
      <w:r>
        <w:rPr>
          <w:rFonts w:ascii="Times New Roman" w:hAnsi="Times New Roman" w:cs="Times New Roman"/>
        </w:rPr>
        <w:instrText xml:space="preserve"> DOCPROPERTY  Title  \* MERGEFORMAT </w:instrText>
      </w:r>
      <w:r>
        <w:rPr>
          <w:rFonts w:ascii="Times New Roman" w:hAnsi="Times New Roman" w:cs="Times New Roman"/>
        </w:rPr>
        <w:fldChar w:fldCharType="separate"/>
      </w:r>
      <w:r>
        <w:rPr>
          <w:rFonts w:ascii="Times New Roman" w:hAnsi="Times New Roman" w:cs="Times New Roman"/>
        </w:rPr>
        <w:t>Requirement</w:t>
      </w:r>
      <w:r>
        <w:rPr>
          <w:rFonts w:ascii="Times New Roman" w:hAnsi="Times New Roman" w:cs="Times New Roman"/>
          <w:lang w:val="vi-VN"/>
        </w:rPr>
        <w:t xml:space="preserve"> &amp; Design</w:t>
      </w:r>
      <w:r>
        <w:rPr>
          <w:rFonts w:ascii="Times New Roman" w:hAnsi="Times New Roman" w:cs="Times New Roman"/>
        </w:rPr>
        <w:t xml:space="preserve"> Specification</w:t>
      </w:r>
      <w:r>
        <w:rPr>
          <w:rFonts w:ascii="Times New Roman" w:hAnsi="Times New Roman" w:cs="Times New Roman"/>
        </w:rPr>
        <w:fldChar w:fldCharType="end"/>
      </w:r>
    </w:p>
    <w:p w14:paraId="70246AD8">
      <w:pPr>
        <w:spacing w:before="120" w:line="360" w:lineRule="auto"/>
        <w:jc w:val="center"/>
        <w:rPr>
          <w:b/>
          <w:sz w:val="36"/>
          <w:szCs w:val="36"/>
        </w:rPr>
      </w:pPr>
      <w:r>
        <w:rPr>
          <w:b/>
          <w:sz w:val="36"/>
          <w:szCs w:val="36"/>
        </w:rPr>
        <w:t>Global Access Management System (GAMS)</w:t>
      </w:r>
    </w:p>
    <w:p w14:paraId="4023D5E2">
      <w:pPr>
        <w:spacing w:before="120" w:line="360" w:lineRule="auto"/>
        <w:jc w:val="center"/>
        <w:rPr>
          <w:b/>
          <w:bCs/>
          <w:sz w:val="28"/>
          <w:szCs w:val="28"/>
        </w:rPr>
      </w:pPr>
      <w:r>
        <w:rPr>
          <w:b/>
          <w:bCs/>
          <w:sz w:val="28"/>
          <w:szCs w:val="28"/>
        </w:rPr>
        <w:t>Version: 1.0</w:t>
      </w:r>
    </w:p>
    <w:p w14:paraId="39D10ADB">
      <w:pPr>
        <w:spacing w:before="120" w:line="360" w:lineRule="auto"/>
        <w:jc w:val="center"/>
        <w:rPr>
          <w:b/>
          <w:bCs/>
          <w:sz w:val="24"/>
        </w:rPr>
      </w:pPr>
    </w:p>
    <w:p w14:paraId="239A3F8A">
      <w:pPr>
        <w:spacing w:before="120" w:line="360" w:lineRule="auto"/>
        <w:jc w:val="center"/>
        <w:rPr>
          <w:b/>
          <w:bCs/>
          <w:sz w:val="24"/>
        </w:rPr>
      </w:pPr>
    </w:p>
    <w:p w14:paraId="6F844BA6">
      <w:pPr>
        <w:spacing w:before="120" w:line="360" w:lineRule="auto"/>
        <w:jc w:val="center"/>
        <w:rPr>
          <w:b/>
          <w:bCs/>
          <w:sz w:val="24"/>
        </w:rPr>
      </w:pPr>
    </w:p>
    <w:p w14:paraId="41571A30">
      <w:pPr>
        <w:spacing w:before="120" w:line="360" w:lineRule="auto"/>
        <w:jc w:val="center"/>
        <w:rPr>
          <w:b/>
          <w:bCs/>
          <w:sz w:val="24"/>
        </w:rPr>
      </w:pPr>
    </w:p>
    <w:p w14:paraId="45947915">
      <w:pPr>
        <w:spacing w:before="120" w:line="360" w:lineRule="auto"/>
        <w:jc w:val="center"/>
        <w:rPr>
          <w:b/>
          <w:bCs/>
          <w:sz w:val="24"/>
        </w:rPr>
      </w:pPr>
    </w:p>
    <w:p w14:paraId="6BF5E5B4">
      <w:pPr>
        <w:spacing w:before="120" w:line="360" w:lineRule="auto"/>
        <w:jc w:val="center"/>
        <w:rPr>
          <w:b/>
          <w:bCs/>
          <w:sz w:val="24"/>
        </w:rPr>
      </w:pPr>
    </w:p>
    <w:p w14:paraId="537A2ABE">
      <w:pPr>
        <w:spacing w:before="120" w:line="360" w:lineRule="auto"/>
        <w:jc w:val="center"/>
        <w:rPr>
          <w:b/>
          <w:bCs/>
          <w:sz w:val="24"/>
        </w:rPr>
      </w:pPr>
    </w:p>
    <w:p w14:paraId="10C69AB6">
      <w:pPr>
        <w:spacing w:before="120" w:line="360" w:lineRule="auto"/>
        <w:jc w:val="center"/>
        <w:rPr>
          <w:b/>
          <w:bCs/>
          <w:sz w:val="24"/>
        </w:rPr>
      </w:pPr>
    </w:p>
    <w:p w14:paraId="2E29E9DF">
      <w:pPr>
        <w:spacing w:before="120" w:line="360" w:lineRule="auto"/>
        <w:jc w:val="center"/>
        <w:rPr>
          <w:b/>
          <w:bCs/>
          <w:sz w:val="24"/>
        </w:rPr>
      </w:pPr>
    </w:p>
    <w:p w14:paraId="18FDDADE">
      <w:pPr>
        <w:spacing w:before="120" w:line="360" w:lineRule="auto"/>
        <w:jc w:val="center"/>
        <w:rPr>
          <w:b/>
          <w:bCs/>
          <w:sz w:val="24"/>
        </w:rPr>
      </w:pPr>
    </w:p>
    <w:p w14:paraId="5DC23BBB">
      <w:pPr>
        <w:spacing w:before="89"/>
        <w:ind w:left="2526" w:right="2171"/>
        <w:jc w:val="center"/>
        <w:rPr>
          <w:rFonts w:cstheme="minorHAnsi"/>
          <w:sz w:val="28"/>
          <w:szCs w:val="28"/>
        </w:rPr>
      </w:pPr>
      <w:r>
        <w:rPr>
          <w:rFonts w:cstheme="minorHAnsi"/>
          <w:sz w:val="28"/>
          <w:szCs w:val="28"/>
        </w:rPr>
        <w:t>– Hanoi, August 2022 –</w:t>
      </w:r>
    </w:p>
    <w:p w14:paraId="7F7A60E7">
      <w:pPr>
        <w:rPr>
          <w:b/>
          <w:bCs/>
          <w:sz w:val="28"/>
          <w:szCs w:val="28"/>
        </w:rPr>
      </w:pPr>
    </w:p>
    <w:p w14:paraId="14E4744F">
      <w:pPr>
        <w:pStyle w:val="2"/>
      </w:pPr>
      <w:bookmarkStart w:id="0" w:name="_Toc83330272"/>
      <w:bookmarkStart w:id="1" w:name="_Toc143617337"/>
      <w:bookmarkStart w:id="2" w:name="_Toc126827254"/>
      <w:bookmarkStart w:id="3" w:name="_Toc83330363"/>
      <w:bookmarkStart w:id="4" w:name="_Toc134475437"/>
      <w:r>
        <w:t>Record of Changes</w:t>
      </w:r>
      <w:bookmarkEnd w:id="0"/>
      <w:bookmarkEnd w:id="1"/>
      <w:bookmarkEnd w:id="2"/>
      <w:bookmarkEnd w:id="3"/>
      <w:bookmarkEnd w:id="4"/>
    </w:p>
    <w:tbl>
      <w:tblPr>
        <w:tblStyle w:val="8"/>
        <w:tblW w:w="9794"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990"/>
        <w:gridCol w:w="990"/>
        <w:gridCol w:w="810"/>
        <w:gridCol w:w="1234"/>
        <w:gridCol w:w="5770"/>
      </w:tblGrid>
      <w:tr w14:paraId="1B193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shd w:val="clear" w:color="auto" w:fill="FFE8E1"/>
          </w:tcPr>
          <w:p w14:paraId="1B4EADE1">
            <w:pPr>
              <w:pStyle w:val="34"/>
            </w:pPr>
            <w:r>
              <w:t>Version</w:t>
            </w:r>
          </w:p>
        </w:tc>
        <w:tc>
          <w:tcPr>
            <w:tcW w:w="990" w:type="dxa"/>
            <w:shd w:val="clear" w:color="auto" w:fill="FFE8E1"/>
          </w:tcPr>
          <w:p w14:paraId="3471468A">
            <w:pPr>
              <w:pStyle w:val="34"/>
            </w:pPr>
            <w:r>
              <w:t>Date</w:t>
            </w:r>
          </w:p>
        </w:tc>
        <w:tc>
          <w:tcPr>
            <w:tcW w:w="810" w:type="dxa"/>
            <w:shd w:val="clear" w:color="auto" w:fill="FFE8E1"/>
          </w:tcPr>
          <w:p w14:paraId="78ABDFA4">
            <w:pPr>
              <w:pStyle w:val="34"/>
            </w:pPr>
            <w:r>
              <w:t>A*</w:t>
            </w:r>
            <w:r>
              <w:br w:type="textWrapping"/>
            </w:r>
            <w:r>
              <w:t>M, D</w:t>
            </w:r>
          </w:p>
        </w:tc>
        <w:tc>
          <w:tcPr>
            <w:tcW w:w="1234" w:type="dxa"/>
            <w:shd w:val="clear" w:color="auto" w:fill="FFE8E1"/>
          </w:tcPr>
          <w:p w14:paraId="74AF89AA">
            <w:pPr>
              <w:pStyle w:val="34"/>
            </w:pPr>
            <w:r>
              <w:t>In charge</w:t>
            </w:r>
          </w:p>
        </w:tc>
        <w:tc>
          <w:tcPr>
            <w:tcW w:w="5770" w:type="dxa"/>
            <w:shd w:val="clear" w:color="auto" w:fill="FFE8E1"/>
          </w:tcPr>
          <w:p w14:paraId="0D413EF7">
            <w:pPr>
              <w:pStyle w:val="34"/>
            </w:pPr>
            <w:r>
              <w:t>Change Description</w:t>
            </w:r>
          </w:p>
        </w:tc>
      </w:tr>
      <w:tr w14:paraId="6ECD0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311779E5">
            <w:pPr>
              <w:pStyle w:val="33"/>
            </w:pPr>
            <w:r>
              <w:t>V1.0</w:t>
            </w:r>
          </w:p>
        </w:tc>
        <w:tc>
          <w:tcPr>
            <w:tcW w:w="990" w:type="dxa"/>
          </w:tcPr>
          <w:p w14:paraId="6CAC104B">
            <w:pPr>
              <w:pStyle w:val="33"/>
              <w:jc w:val="center"/>
            </w:pPr>
            <w:r>
              <w:t>15/2</w:t>
            </w:r>
          </w:p>
        </w:tc>
        <w:tc>
          <w:tcPr>
            <w:tcW w:w="810" w:type="dxa"/>
          </w:tcPr>
          <w:p w14:paraId="1FF9FFBD">
            <w:pPr>
              <w:pStyle w:val="33"/>
            </w:pPr>
            <w:r>
              <w:t>A</w:t>
            </w:r>
          </w:p>
        </w:tc>
        <w:tc>
          <w:tcPr>
            <w:tcW w:w="1234" w:type="dxa"/>
          </w:tcPr>
          <w:p w14:paraId="54D4BE1D">
            <w:pPr>
              <w:pStyle w:val="33"/>
            </w:pPr>
            <w:r>
              <w:t>KienNTHE11</w:t>
            </w:r>
          </w:p>
        </w:tc>
        <w:tc>
          <w:tcPr>
            <w:tcW w:w="5770" w:type="dxa"/>
          </w:tcPr>
          <w:p w14:paraId="008E512E">
            <w:pPr>
              <w:pStyle w:val="33"/>
            </w:pPr>
          </w:p>
        </w:tc>
      </w:tr>
      <w:tr w14:paraId="63069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49C89A0F">
            <w:pPr>
              <w:pStyle w:val="33"/>
            </w:pPr>
          </w:p>
        </w:tc>
        <w:tc>
          <w:tcPr>
            <w:tcW w:w="990" w:type="dxa"/>
          </w:tcPr>
          <w:p w14:paraId="2FCB1422">
            <w:pPr>
              <w:pStyle w:val="33"/>
              <w:jc w:val="center"/>
            </w:pPr>
          </w:p>
        </w:tc>
        <w:tc>
          <w:tcPr>
            <w:tcW w:w="810" w:type="dxa"/>
          </w:tcPr>
          <w:p w14:paraId="1CD0184C">
            <w:pPr>
              <w:pStyle w:val="33"/>
            </w:pPr>
          </w:p>
        </w:tc>
        <w:tc>
          <w:tcPr>
            <w:tcW w:w="1234" w:type="dxa"/>
          </w:tcPr>
          <w:p w14:paraId="7640DB12">
            <w:pPr>
              <w:pStyle w:val="33"/>
            </w:pPr>
          </w:p>
        </w:tc>
        <w:tc>
          <w:tcPr>
            <w:tcW w:w="5770" w:type="dxa"/>
          </w:tcPr>
          <w:p w14:paraId="31213BF9">
            <w:pPr>
              <w:pStyle w:val="33"/>
            </w:pPr>
          </w:p>
        </w:tc>
      </w:tr>
      <w:tr w14:paraId="5466B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0E145738">
            <w:pPr>
              <w:pStyle w:val="33"/>
            </w:pPr>
          </w:p>
        </w:tc>
        <w:tc>
          <w:tcPr>
            <w:tcW w:w="990" w:type="dxa"/>
          </w:tcPr>
          <w:p w14:paraId="3D62A87B">
            <w:pPr>
              <w:pStyle w:val="33"/>
              <w:jc w:val="center"/>
            </w:pPr>
          </w:p>
        </w:tc>
        <w:tc>
          <w:tcPr>
            <w:tcW w:w="810" w:type="dxa"/>
          </w:tcPr>
          <w:p w14:paraId="0CE645D0">
            <w:pPr>
              <w:pStyle w:val="33"/>
            </w:pPr>
          </w:p>
        </w:tc>
        <w:tc>
          <w:tcPr>
            <w:tcW w:w="1234" w:type="dxa"/>
          </w:tcPr>
          <w:p w14:paraId="7910E8D8">
            <w:pPr>
              <w:pStyle w:val="33"/>
            </w:pPr>
          </w:p>
        </w:tc>
        <w:tc>
          <w:tcPr>
            <w:tcW w:w="5770" w:type="dxa"/>
          </w:tcPr>
          <w:p w14:paraId="18C18DB9">
            <w:pPr>
              <w:pStyle w:val="33"/>
            </w:pPr>
          </w:p>
        </w:tc>
      </w:tr>
      <w:tr w14:paraId="177E3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02AF6813">
            <w:pPr>
              <w:pStyle w:val="33"/>
            </w:pPr>
          </w:p>
        </w:tc>
        <w:tc>
          <w:tcPr>
            <w:tcW w:w="990" w:type="dxa"/>
          </w:tcPr>
          <w:p w14:paraId="1E385D39">
            <w:pPr>
              <w:pStyle w:val="33"/>
              <w:jc w:val="center"/>
            </w:pPr>
          </w:p>
        </w:tc>
        <w:tc>
          <w:tcPr>
            <w:tcW w:w="810" w:type="dxa"/>
          </w:tcPr>
          <w:p w14:paraId="735D0FA6">
            <w:pPr>
              <w:pStyle w:val="33"/>
            </w:pPr>
          </w:p>
        </w:tc>
        <w:tc>
          <w:tcPr>
            <w:tcW w:w="1234" w:type="dxa"/>
          </w:tcPr>
          <w:p w14:paraId="542E5022">
            <w:pPr>
              <w:pStyle w:val="33"/>
            </w:pPr>
          </w:p>
        </w:tc>
        <w:tc>
          <w:tcPr>
            <w:tcW w:w="5770" w:type="dxa"/>
          </w:tcPr>
          <w:p w14:paraId="0FC519DF">
            <w:pPr>
              <w:pStyle w:val="33"/>
            </w:pPr>
          </w:p>
        </w:tc>
      </w:tr>
      <w:tr w14:paraId="099FE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609B27CB">
            <w:pPr>
              <w:pStyle w:val="33"/>
            </w:pPr>
          </w:p>
        </w:tc>
        <w:tc>
          <w:tcPr>
            <w:tcW w:w="990" w:type="dxa"/>
          </w:tcPr>
          <w:p w14:paraId="3B528EA2">
            <w:pPr>
              <w:pStyle w:val="33"/>
              <w:jc w:val="center"/>
            </w:pPr>
          </w:p>
        </w:tc>
        <w:tc>
          <w:tcPr>
            <w:tcW w:w="810" w:type="dxa"/>
          </w:tcPr>
          <w:p w14:paraId="6936A84D">
            <w:pPr>
              <w:pStyle w:val="33"/>
            </w:pPr>
          </w:p>
        </w:tc>
        <w:tc>
          <w:tcPr>
            <w:tcW w:w="1234" w:type="dxa"/>
          </w:tcPr>
          <w:p w14:paraId="70E38ECD">
            <w:pPr>
              <w:pStyle w:val="33"/>
            </w:pPr>
          </w:p>
        </w:tc>
        <w:tc>
          <w:tcPr>
            <w:tcW w:w="5770" w:type="dxa"/>
          </w:tcPr>
          <w:p w14:paraId="64EA3FD6">
            <w:pPr>
              <w:pStyle w:val="33"/>
            </w:pPr>
          </w:p>
        </w:tc>
      </w:tr>
      <w:tr w14:paraId="67E50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57820539">
            <w:pPr>
              <w:pStyle w:val="33"/>
            </w:pPr>
          </w:p>
        </w:tc>
        <w:tc>
          <w:tcPr>
            <w:tcW w:w="990" w:type="dxa"/>
          </w:tcPr>
          <w:p w14:paraId="320F4EB9">
            <w:pPr>
              <w:pStyle w:val="33"/>
              <w:jc w:val="center"/>
            </w:pPr>
          </w:p>
        </w:tc>
        <w:tc>
          <w:tcPr>
            <w:tcW w:w="810" w:type="dxa"/>
          </w:tcPr>
          <w:p w14:paraId="104BE215">
            <w:pPr>
              <w:pStyle w:val="33"/>
            </w:pPr>
          </w:p>
        </w:tc>
        <w:tc>
          <w:tcPr>
            <w:tcW w:w="1234" w:type="dxa"/>
          </w:tcPr>
          <w:p w14:paraId="4A2CEF0F">
            <w:pPr>
              <w:pStyle w:val="33"/>
            </w:pPr>
          </w:p>
        </w:tc>
        <w:tc>
          <w:tcPr>
            <w:tcW w:w="5770" w:type="dxa"/>
          </w:tcPr>
          <w:p w14:paraId="38DBEB77">
            <w:pPr>
              <w:pStyle w:val="33"/>
            </w:pPr>
          </w:p>
        </w:tc>
      </w:tr>
      <w:tr w14:paraId="2738F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5823282D">
            <w:pPr>
              <w:pStyle w:val="33"/>
            </w:pPr>
          </w:p>
        </w:tc>
        <w:tc>
          <w:tcPr>
            <w:tcW w:w="990" w:type="dxa"/>
          </w:tcPr>
          <w:p w14:paraId="57C936D0">
            <w:pPr>
              <w:pStyle w:val="33"/>
              <w:jc w:val="center"/>
            </w:pPr>
          </w:p>
        </w:tc>
        <w:tc>
          <w:tcPr>
            <w:tcW w:w="810" w:type="dxa"/>
          </w:tcPr>
          <w:p w14:paraId="5D48BC0D">
            <w:pPr>
              <w:pStyle w:val="33"/>
            </w:pPr>
          </w:p>
        </w:tc>
        <w:tc>
          <w:tcPr>
            <w:tcW w:w="1234" w:type="dxa"/>
          </w:tcPr>
          <w:p w14:paraId="4A632D8B">
            <w:pPr>
              <w:pStyle w:val="33"/>
            </w:pPr>
          </w:p>
        </w:tc>
        <w:tc>
          <w:tcPr>
            <w:tcW w:w="5770" w:type="dxa"/>
          </w:tcPr>
          <w:p w14:paraId="59D6F9C6">
            <w:pPr>
              <w:pStyle w:val="33"/>
            </w:pPr>
          </w:p>
        </w:tc>
      </w:tr>
      <w:tr w14:paraId="72C4E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4F74EF30">
            <w:pPr>
              <w:pStyle w:val="33"/>
            </w:pPr>
          </w:p>
        </w:tc>
        <w:tc>
          <w:tcPr>
            <w:tcW w:w="990" w:type="dxa"/>
          </w:tcPr>
          <w:p w14:paraId="5408DB94">
            <w:pPr>
              <w:pStyle w:val="33"/>
              <w:jc w:val="center"/>
            </w:pPr>
          </w:p>
        </w:tc>
        <w:tc>
          <w:tcPr>
            <w:tcW w:w="810" w:type="dxa"/>
          </w:tcPr>
          <w:p w14:paraId="72DCA01E">
            <w:pPr>
              <w:pStyle w:val="33"/>
            </w:pPr>
          </w:p>
        </w:tc>
        <w:tc>
          <w:tcPr>
            <w:tcW w:w="1234" w:type="dxa"/>
          </w:tcPr>
          <w:p w14:paraId="14F7998F">
            <w:pPr>
              <w:pStyle w:val="33"/>
            </w:pPr>
          </w:p>
        </w:tc>
        <w:tc>
          <w:tcPr>
            <w:tcW w:w="5770" w:type="dxa"/>
          </w:tcPr>
          <w:p w14:paraId="79CAC3C2">
            <w:pPr>
              <w:pStyle w:val="33"/>
            </w:pPr>
          </w:p>
        </w:tc>
      </w:tr>
      <w:tr w14:paraId="48E6B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07F4E1FF">
            <w:pPr>
              <w:pStyle w:val="33"/>
            </w:pPr>
          </w:p>
        </w:tc>
        <w:tc>
          <w:tcPr>
            <w:tcW w:w="990" w:type="dxa"/>
          </w:tcPr>
          <w:p w14:paraId="588EB7E5">
            <w:pPr>
              <w:pStyle w:val="33"/>
              <w:jc w:val="center"/>
            </w:pPr>
          </w:p>
        </w:tc>
        <w:tc>
          <w:tcPr>
            <w:tcW w:w="810" w:type="dxa"/>
          </w:tcPr>
          <w:p w14:paraId="7631B83C">
            <w:pPr>
              <w:pStyle w:val="33"/>
            </w:pPr>
          </w:p>
        </w:tc>
        <w:tc>
          <w:tcPr>
            <w:tcW w:w="1234" w:type="dxa"/>
          </w:tcPr>
          <w:p w14:paraId="6C75D326">
            <w:pPr>
              <w:pStyle w:val="33"/>
            </w:pPr>
          </w:p>
        </w:tc>
        <w:tc>
          <w:tcPr>
            <w:tcW w:w="5770" w:type="dxa"/>
          </w:tcPr>
          <w:p w14:paraId="7F3254A8">
            <w:pPr>
              <w:pStyle w:val="33"/>
            </w:pPr>
          </w:p>
        </w:tc>
      </w:tr>
      <w:tr w14:paraId="677CA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569FCBBB">
            <w:pPr>
              <w:pStyle w:val="33"/>
            </w:pPr>
          </w:p>
        </w:tc>
        <w:tc>
          <w:tcPr>
            <w:tcW w:w="990" w:type="dxa"/>
          </w:tcPr>
          <w:p w14:paraId="4B57A6A4">
            <w:pPr>
              <w:pStyle w:val="33"/>
              <w:jc w:val="center"/>
            </w:pPr>
          </w:p>
        </w:tc>
        <w:tc>
          <w:tcPr>
            <w:tcW w:w="810" w:type="dxa"/>
          </w:tcPr>
          <w:p w14:paraId="7CA0B605">
            <w:pPr>
              <w:pStyle w:val="33"/>
            </w:pPr>
          </w:p>
        </w:tc>
        <w:tc>
          <w:tcPr>
            <w:tcW w:w="1234" w:type="dxa"/>
          </w:tcPr>
          <w:p w14:paraId="3C73D2DB">
            <w:pPr>
              <w:pStyle w:val="33"/>
            </w:pPr>
          </w:p>
        </w:tc>
        <w:tc>
          <w:tcPr>
            <w:tcW w:w="5770" w:type="dxa"/>
          </w:tcPr>
          <w:p w14:paraId="426CEAE8">
            <w:pPr>
              <w:pStyle w:val="33"/>
            </w:pPr>
          </w:p>
        </w:tc>
      </w:tr>
      <w:tr w14:paraId="574EB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35259F45">
            <w:pPr>
              <w:pStyle w:val="33"/>
            </w:pPr>
          </w:p>
        </w:tc>
        <w:tc>
          <w:tcPr>
            <w:tcW w:w="990" w:type="dxa"/>
          </w:tcPr>
          <w:p w14:paraId="7F5BDA34">
            <w:pPr>
              <w:pStyle w:val="33"/>
              <w:jc w:val="center"/>
            </w:pPr>
          </w:p>
        </w:tc>
        <w:tc>
          <w:tcPr>
            <w:tcW w:w="810" w:type="dxa"/>
          </w:tcPr>
          <w:p w14:paraId="01CEE951">
            <w:pPr>
              <w:pStyle w:val="33"/>
            </w:pPr>
          </w:p>
        </w:tc>
        <w:tc>
          <w:tcPr>
            <w:tcW w:w="1234" w:type="dxa"/>
          </w:tcPr>
          <w:p w14:paraId="79D9759B">
            <w:pPr>
              <w:pStyle w:val="33"/>
            </w:pPr>
          </w:p>
        </w:tc>
        <w:tc>
          <w:tcPr>
            <w:tcW w:w="5770" w:type="dxa"/>
          </w:tcPr>
          <w:p w14:paraId="2681A975">
            <w:pPr>
              <w:pStyle w:val="33"/>
            </w:pPr>
          </w:p>
        </w:tc>
      </w:tr>
      <w:tr w14:paraId="71985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02092640">
            <w:pPr>
              <w:pStyle w:val="33"/>
            </w:pPr>
          </w:p>
        </w:tc>
        <w:tc>
          <w:tcPr>
            <w:tcW w:w="990" w:type="dxa"/>
          </w:tcPr>
          <w:p w14:paraId="340D229E">
            <w:pPr>
              <w:pStyle w:val="33"/>
              <w:jc w:val="center"/>
            </w:pPr>
          </w:p>
        </w:tc>
        <w:tc>
          <w:tcPr>
            <w:tcW w:w="810" w:type="dxa"/>
          </w:tcPr>
          <w:p w14:paraId="76F5D82C">
            <w:pPr>
              <w:pStyle w:val="33"/>
            </w:pPr>
          </w:p>
        </w:tc>
        <w:tc>
          <w:tcPr>
            <w:tcW w:w="1234" w:type="dxa"/>
          </w:tcPr>
          <w:p w14:paraId="5072F97C">
            <w:pPr>
              <w:pStyle w:val="33"/>
            </w:pPr>
          </w:p>
        </w:tc>
        <w:tc>
          <w:tcPr>
            <w:tcW w:w="5770" w:type="dxa"/>
          </w:tcPr>
          <w:p w14:paraId="65D9DA4B">
            <w:pPr>
              <w:pStyle w:val="33"/>
            </w:pPr>
          </w:p>
        </w:tc>
      </w:tr>
    </w:tbl>
    <w:p w14:paraId="7D4F1F19">
      <w:pPr>
        <w:rPr>
          <w:rFonts w:cstheme="minorHAnsi"/>
          <w:sz w:val="28"/>
          <w:szCs w:val="28"/>
        </w:rPr>
      </w:pPr>
      <w:r>
        <w:t>*A - Added M - Modified D - Deleted</w:t>
      </w:r>
    </w:p>
    <w:p w14:paraId="5F68ED27">
      <w:pPr>
        <w:spacing w:line="360" w:lineRule="auto"/>
        <w:rPr>
          <w:b/>
          <w:sz w:val="32"/>
          <w:szCs w:val="32"/>
        </w:rPr>
      </w:pPr>
      <w:r>
        <w:br w:type="page"/>
      </w:r>
    </w:p>
    <w:sdt>
      <w:sdtPr>
        <w:rPr>
          <w:rFonts w:ascii="Times New Roman" w:hAnsi="Times New Roman" w:eastAsia="Times New Roman" w:cs="Times New Roman"/>
          <w:color w:val="auto"/>
          <w:sz w:val="22"/>
          <w:szCs w:val="20"/>
        </w:rPr>
        <w:id w:val="915826783"/>
        <w:docPartObj>
          <w:docPartGallery w:val="Table of Contents"/>
          <w:docPartUnique/>
        </w:docPartObj>
      </w:sdtPr>
      <w:sdtEndPr>
        <w:rPr>
          <w:rFonts w:ascii="Times New Roman" w:hAnsi="Times New Roman" w:eastAsia="Times New Roman" w:cs="Times New Roman"/>
          <w:b/>
          <w:bCs/>
          <w:color w:val="auto"/>
          <w:sz w:val="22"/>
          <w:szCs w:val="20"/>
        </w:rPr>
      </w:sdtEndPr>
      <w:sdtContent>
        <w:p w14:paraId="73E77F1E">
          <w:pPr>
            <w:pStyle w:val="35"/>
          </w:pPr>
          <w:r>
            <w:t>Contents</w:t>
          </w:r>
        </w:p>
        <w:p w14:paraId="4762A1EB">
          <w:pPr>
            <w:pStyle w:val="18"/>
            <w:tabs>
              <w:tab w:val="right" w:leader="dot" w:pos="9350"/>
            </w:tabs>
            <w:rPr>
              <w:rFonts w:asciiTheme="minorHAnsi" w:hAnsiTheme="minorHAnsi" w:eastAsiaTheme="minorEastAsia" w:cstheme="minorBidi"/>
              <w:szCs w:val="22"/>
            </w:rPr>
          </w:pPr>
          <w:r>
            <w:fldChar w:fldCharType="begin"/>
          </w:r>
          <w:r>
            <w:instrText xml:space="preserve"> TOC \o "1-3" \h \z \u </w:instrText>
          </w:r>
          <w:r>
            <w:fldChar w:fldCharType="separate"/>
          </w:r>
          <w:r>
            <w:fldChar w:fldCharType="begin"/>
          </w:r>
          <w:r>
            <w:instrText xml:space="preserve"> HYPERLINK \l "_Toc143617337" </w:instrText>
          </w:r>
          <w:r>
            <w:fldChar w:fldCharType="separate"/>
          </w:r>
          <w:r>
            <w:rPr>
              <w:rStyle w:val="13"/>
            </w:rPr>
            <w:t>Record of Changes</w:t>
          </w:r>
          <w:r>
            <w:tab/>
          </w:r>
          <w:r>
            <w:fldChar w:fldCharType="begin"/>
          </w:r>
          <w:r>
            <w:instrText xml:space="preserve"> PAGEREF _Toc143617337 \h </w:instrText>
          </w:r>
          <w:r>
            <w:fldChar w:fldCharType="separate"/>
          </w:r>
          <w:r>
            <w:t>2</w:t>
          </w:r>
          <w:r>
            <w:fldChar w:fldCharType="end"/>
          </w:r>
          <w:r>
            <w:fldChar w:fldCharType="end"/>
          </w:r>
        </w:p>
        <w:p w14:paraId="2DEA94F5">
          <w:pPr>
            <w:pStyle w:val="18"/>
            <w:tabs>
              <w:tab w:val="right" w:leader="dot" w:pos="9350"/>
            </w:tabs>
            <w:rPr>
              <w:rFonts w:asciiTheme="minorHAnsi" w:hAnsiTheme="minorHAnsi" w:eastAsiaTheme="minorEastAsia" w:cstheme="minorBidi"/>
              <w:szCs w:val="22"/>
            </w:rPr>
          </w:pPr>
          <w:r>
            <w:fldChar w:fldCharType="begin"/>
          </w:r>
          <w:r>
            <w:instrText xml:space="preserve"> HYPERLINK \l "_Toc143617338" </w:instrText>
          </w:r>
          <w:r>
            <w:fldChar w:fldCharType="separate"/>
          </w:r>
          <w:r>
            <w:rPr>
              <w:rStyle w:val="13"/>
            </w:rPr>
            <w:t>I. Overview</w:t>
          </w:r>
          <w:r>
            <w:tab/>
          </w:r>
          <w:r>
            <w:fldChar w:fldCharType="begin"/>
          </w:r>
          <w:r>
            <w:instrText xml:space="preserve"> PAGEREF _Toc143617338 \h </w:instrText>
          </w:r>
          <w:r>
            <w:fldChar w:fldCharType="separate"/>
          </w:r>
          <w:r>
            <w:t>4</w:t>
          </w:r>
          <w:r>
            <w:fldChar w:fldCharType="end"/>
          </w:r>
          <w:r>
            <w:fldChar w:fldCharType="end"/>
          </w:r>
        </w:p>
        <w:p w14:paraId="1B6133A7">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"_Toc143617339" </w:instrText>
          </w:r>
          <w:r>
            <w:fldChar w:fldCharType="separate"/>
          </w:r>
          <w:r>
            <w:rPr>
              <w:rStyle w:val="13"/>
              <w:lang w:val="vi-VN"/>
            </w:rPr>
            <w:t>1</w:t>
          </w:r>
          <w:r>
            <w:rPr>
              <w:rStyle w:val="13"/>
            </w:rPr>
            <w:t>. User Requirements</w:t>
          </w:r>
          <w:r>
            <w:tab/>
          </w:r>
          <w:r>
            <w:fldChar w:fldCharType="begin"/>
          </w:r>
          <w:r>
            <w:instrText xml:space="preserve"> PAGEREF _Toc143617339 \h </w:instrText>
          </w:r>
          <w:r>
            <w:fldChar w:fldCharType="separate"/>
          </w:r>
          <w:r>
            <w:t>4</w:t>
          </w:r>
          <w:r>
            <w:fldChar w:fldCharType="end"/>
          </w:r>
          <w:r>
            <w:fldChar w:fldCharType="end"/>
          </w:r>
        </w:p>
        <w:p w14:paraId="7B074D6E">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"_Toc143617340" </w:instrText>
          </w:r>
          <w:r>
            <w:fldChar w:fldCharType="separate"/>
          </w:r>
          <w:r>
            <w:rPr>
              <w:rStyle w:val="13"/>
              <w:lang w:val="vi-VN"/>
            </w:rPr>
            <w:t>1</w:t>
          </w:r>
          <w:r>
            <w:rPr>
              <w:rStyle w:val="13"/>
            </w:rPr>
            <w:t>.1 Actors</w:t>
          </w:r>
          <w:r>
            <w:tab/>
          </w:r>
          <w:r>
            <w:fldChar w:fldCharType="begin"/>
          </w:r>
          <w:r>
            <w:instrText xml:space="preserve"> PAGEREF _Toc143617340 \h </w:instrText>
          </w:r>
          <w:r>
            <w:fldChar w:fldCharType="separate"/>
          </w:r>
          <w:r>
            <w:t>4</w:t>
          </w:r>
          <w:r>
            <w:fldChar w:fldCharType="end"/>
          </w:r>
          <w:r>
            <w:fldChar w:fldCharType="end"/>
          </w:r>
        </w:p>
        <w:p w14:paraId="623264E7">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"_Toc143617341" </w:instrText>
          </w:r>
          <w:r>
            <w:fldChar w:fldCharType="separate"/>
          </w:r>
          <w:r>
            <w:rPr>
              <w:rStyle w:val="13"/>
              <w:lang w:val="vi-VN"/>
            </w:rPr>
            <w:t>1</w:t>
          </w:r>
          <w:r>
            <w:rPr>
              <w:rStyle w:val="13"/>
            </w:rPr>
            <w:t>.2 Use Cases</w:t>
          </w:r>
          <w:r>
            <w:tab/>
          </w:r>
          <w:r>
            <w:fldChar w:fldCharType="begin"/>
          </w:r>
          <w:r>
            <w:instrText xml:space="preserve"> PAGEREF _Toc143617341 \h </w:instrText>
          </w:r>
          <w:r>
            <w:fldChar w:fldCharType="separate"/>
          </w:r>
          <w:r>
            <w:t>4</w:t>
          </w:r>
          <w:r>
            <w:fldChar w:fldCharType="end"/>
          </w:r>
          <w:r>
            <w:fldChar w:fldCharType="end"/>
          </w:r>
        </w:p>
        <w:p w14:paraId="4255DA25">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"_Toc143617342" </w:instrText>
          </w:r>
          <w:r>
            <w:fldChar w:fldCharType="separate"/>
          </w:r>
          <w:r>
            <w:rPr>
              <w:rStyle w:val="13"/>
              <w:lang w:val="vi-VN"/>
            </w:rPr>
            <w:t>2</w:t>
          </w:r>
          <w:r>
            <w:rPr>
              <w:rStyle w:val="13"/>
            </w:rPr>
            <w:t>. Overall Functionalities</w:t>
          </w:r>
          <w:r>
            <w:tab/>
          </w:r>
          <w:r>
            <w:fldChar w:fldCharType="begin"/>
          </w:r>
          <w:r>
            <w:instrText xml:space="preserve"> PAGEREF _Toc143617342 \h </w:instrText>
          </w:r>
          <w:r>
            <w:fldChar w:fldCharType="separate"/>
          </w:r>
          <w:r>
            <w:t>5</w:t>
          </w:r>
          <w:r>
            <w:fldChar w:fldCharType="end"/>
          </w:r>
          <w:r>
            <w:fldChar w:fldCharType="end"/>
          </w:r>
        </w:p>
        <w:p w14:paraId="729E8A51">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"_Toc143617343" </w:instrText>
          </w:r>
          <w:r>
            <w:fldChar w:fldCharType="separate"/>
          </w:r>
          <w:r>
            <w:rPr>
              <w:rStyle w:val="13"/>
              <w:lang w:val="vi-VN"/>
            </w:rPr>
            <w:t>2</w:t>
          </w:r>
          <w:r>
            <w:rPr>
              <w:rStyle w:val="13"/>
            </w:rPr>
            <w:t>.1 Screens Flow</w:t>
          </w:r>
          <w:r>
            <w:tab/>
          </w:r>
          <w:r>
            <w:fldChar w:fldCharType="begin"/>
          </w:r>
          <w:r>
            <w:instrText xml:space="preserve"> PAGEREF _Toc143617343 \h </w:instrText>
          </w:r>
          <w:r>
            <w:fldChar w:fldCharType="separate"/>
          </w:r>
          <w:r>
            <w:t>5</w:t>
          </w:r>
          <w:r>
            <w:fldChar w:fldCharType="end"/>
          </w:r>
          <w:r>
            <w:fldChar w:fldCharType="end"/>
          </w:r>
        </w:p>
        <w:p w14:paraId="472D2D34">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"_Toc143617344" </w:instrText>
          </w:r>
          <w:r>
            <w:fldChar w:fldCharType="separate"/>
          </w:r>
          <w:r>
            <w:rPr>
              <w:rStyle w:val="13"/>
              <w:lang w:val="vi-VN"/>
            </w:rPr>
            <w:t>2.2</w:t>
          </w:r>
          <w:r>
            <w:rPr>
              <w:rStyle w:val="13"/>
            </w:rPr>
            <w:t xml:space="preserve"> Screen Descriptions</w:t>
          </w:r>
          <w:r>
            <w:tab/>
          </w:r>
          <w:r>
            <w:fldChar w:fldCharType="begin"/>
          </w:r>
          <w:r>
            <w:instrText xml:space="preserve"> PAGEREF _Toc143617344 \h </w:instrText>
          </w:r>
          <w:r>
            <w:fldChar w:fldCharType="separate"/>
          </w:r>
          <w:r>
            <w:t>5</w:t>
          </w:r>
          <w:r>
            <w:fldChar w:fldCharType="end"/>
          </w:r>
          <w:r>
            <w:fldChar w:fldCharType="end"/>
          </w:r>
        </w:p>
        <w:p w14:paraId="2B2BED66">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"_Toc143617345" </w:instrText>
          </w:r>
          <w:r>
            <w:fldChar w:fldCharType="separate"/>
          </w:r>
          <w:r>
            <w:rPr>
              <w:rStyle w:val="13"/>
              <w:lang w:val="vi-VN"/>
            </w:rPr>
            <w:t>2</w:t>
          </w:r>
          <w:r>
            <w:rPr>
              <w:rStyle w:val="13"/>
            </w:rPr>
            <w:t>.3 Screen Authorization</w:t>
          </w:r>
          <w:r>
            <w:tab/>
          </w:r>
          <w:r>
            <w:fldChar w:fldCharType="begin"/>
          </w:r>
          <w:r>
            <w:instrText xml:space="preserve"> PAGEREF _Toc143617345 \h </w:instrText>
          </w:r>
          <w:r>
            <w:fldChar w:fldCharType="separate"/>
          </w:r>
          <w:r>
            <w:t>5</w:t>
          </w:r>
          <w:r>
            <w:fldChar w:fldCharType="end"/>
          </w:r>
          <w:r>
            <w:fldChar w:fldCharType="end"/>
          </w:r>
        </w:p>
        <w:p w14:paraId="4F3F1CCC">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"_Toc143617346" </w:instrText>
          </w:r>
          <w:r>
            <w:fldChar w:fldCharType="separate"/>
          </w:r>
          <w:r>
            <w:rPr>
              <w:rStyle w:val="13"/>
              <w:lang w:val="vi-VN"/>
            </w:rPr>
            <w:t>2</w:t>
          </w:r>
          <w:r>
            <w:rPr>
              <w:rStyle w:val="13"/>
            </w:rPr>
            <w:t>.4 Non-UI Functions</w:t>
          </w:r>
          <w:r>
            <w:tab/>
          </w:r>
          <w:r>
            <w:fldChar w:fldCharType="begin"/>
          </w:r>
          <w:r>
            <w:instrText xml:space="preserve"> PAGEREF _Toc143617346 \h </w:instrText>
          </w:r>
          <w:r>
            <w:fldChar w:fldCharType="separate"/>
          </w:r>
          <w:r>
            <w:t>6</w:t>
          </w:r>
          <w:r>
            <w:fldChar w:fldCharType="end"/>
          </w:r>
          <w:r>
            <w:fldChar w:fldCharType="end"/>
          </w:r>
        </w:p>
        <w:p w14:paraId="4340A789">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"_Toc143617347" </w:instrText>
          </w:r>
          <w:r>
            <w:fldChar w:fldCharType="separate"/>
          </w:r>
          <w:r>
            <w:rPr>
              <w:rStyle w:val="13"/>
              <w:lang w:val="vi-VN"/>
            </w:rPr>
            <w:t>3. System High Level Design</w:t>
          </w:r>
          <w:r>
            <w:tab/>
          </w:r>
          <w:r>
            <w:fldChar w:fldCharType="begin"/>
          </w:r>
          <w:r>
            <w:instrText xml:space="preserve"> PAGEREF _Toc143617347 \h </w:instrText>
          </w:r>
          <w:r>
            <w:fldChar w:fldCharType="separate"/>
          </w:r>
          <w:r>
            <w:t>6</w:t>
          </w:r>
          <w:r>
            <w:fldChar w:fldCharType="end"/>
          </w:r>
          <w:r>
            <w:fldChar w:fldCharType="end"/>
          </w:r>
        </w:p>
        <w:p w14:paraId="2267FC0D">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"_Toc143617348" </w:instrText>
          </w:r>
          <w:r>
            <w:fldChar w:fldCharType="separate"/>
          </w:r>
          <w:r>
            <w:rPr>
              <w:rStyle w:val="13"/>
              <w:lang w:val="vi-VN"/>
            </w:rPr>
            <w:t>3.</w:t>
          </w:r>
          <w:r>
            <w:rPr>
              <w:rStyle w:val="13"/>
            </w:rPr>
            <w:t>1 Database Design</w:t>
          </w:r>
          <w:r>
            <w:tab/>
          </w:r>
          <w:r>
            <w:fldChar w:fldCharType="begin"/>
          </w:r>
          <w:r>
            <w:instrText xml:space="preserve"> PAGEREF _Toc143617348 \h </w:instrText>
          </w:r>
          <w:r>
            <w:fldChar w:fldCharType="separate"/>
          </w:r>
          <w:r>
            <w:t>6</w:t>
          </w:r>
          <w:r>
            <w:fldChar w:fldCharType="end"/>
          </w:r>
          <w:r>
            <w:fldChar w:fldCharType="end"/>
          </w:r>
        </w:p>
        <w:p w14:paraId="0A3D4AEE">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"_Toc143617349" </w:instrText>
          </w:r>
          <w:r>
            <w:fldChar w:fldCharType="separate"/>
          </w:r>
          <w:r>
            <w:rPr>
              <w:rStyle w:val="13"/>
              <w:lang w:val="vi-VN"/>
            </w:rPr>
            <w:t>3.</w:t>
          </w:r>
          <w:r>
            <w:rPr>
              <w:rStyle w:val="13"/>
            </w:rPr>
            <w:t>2 Code Packages</w:t>
          </w:r>
          <w:r>
            <w:tab/>
          </w:r>
          <w:r>
            <w:fldChar w:fldCharType="begin"/>
          </w:r>
          <w:r>
            <w:instrText xml:space="preserve"> PAGEREF _Toc143617349 \h </w:instrText>
          </w:r>
          <w:r>
            <w:fldChar w:fldCharType="separate"/>
          </w:r>
          <w:r>
            <w:t>7</w:t>
          </w:r>
          <w:r>
            <w:fldChar w:fldCharType="end"/>
          </w:r>
          <w:r>
            <w:fldChar w:fldCharType="end"/>
          </w:r>
        </w:p>
        <w:p w14:paraId="6C703585">
          <w:pPr>
            <w:pStyle w:val="18"/>
            <w:tabs>
              <w:tab w:val="right" w:leader="dot" w:pos="9350"/>
            </w:tabs>
            <w:rPr>
              <w:rFonts w:asciiTheme="minorHAnsi" w:hAnsiTheme="minorHAnsi" w:eastAsiaTheme="minorEastAsia" w:cstheme="minorBidi"/>
              <w:szCs w:val="22"/>
            </w:rPr>
          </w:pPr>
          <w:r>
            <w:fldChar w:fldCharType="begin"/>
          </w:r>
          <w:r>
            <w:instrText xml:space="preserve"> HYPERLINK \l "_Toc143617350" </w:instrText>
          </w:r>
          <w:r>
            <w:fldChar w:fldCharType="separate"/>
          </w:r>
          <w:r>
            <w:rPr>
              <w:rStyle w:val="13"/>
            </w:rPr>
            <w:t>I</w:t>
          </w:r>
          <w:r>
            <w:rPr>
              <w:rStyle w:val="13"/>
              <w:lang w:val="vi-VN"/>
            </w:rPr>
            <w:t>I</w:t>
          </w:r>
          <w:r>
            <w:rPr>
              <w:rStyle w:val="13"/>
            </w:rPr>
            <w:t xml:space="preserve">. </w:t>
          </w:r>
          <w:r>
            <w:rPr>
              <w:rStyle w:val="13"/>
              <w:lang w:val="vi-VN"/>
            </w:rPr>
            <w:t>Requirement</w:t>
          </w:r>
          <w:r>
            <w:rPr>
              <w:rStyle w:val="13"/>
            </w:rPr>
            <w:t xml:space="preserve"> Specification</w:t>
          </w:r>
          <w:r>
            <w:rPr>
              <w:rStyle w:val="13"/>
              <w:lang w:val="vi-VN"/>
            </w:rPr>
            <w:t>s</w:t>
          </w:r>
          <w:r>
            <w:tab/>
          </w:r>
          <w:r>
            <w:fldChar w:fldCharType="begin"/>
          </w:r>
          <w:r>
            <w:instrText xml:space="preserve"> PAGEREF _Toc143617350 \h </w:instrText>
          </w:r>
          <w:r>
            <w:fldChar w:fldCharType="separate"/>
          </w:r>
          <w:r>
            <w:t>8</w:t>
          </w:r>
          <w:r>
            <w:fldChar w:fldCharType="end"/>
          </w:r>
          <w:r>
            <w:fldChar w:fldCharType="end"/>
          </w:r>
        </w:p>
        <w:p w14:paraId="27C21DD6">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"_Toc143617351" </w:instrText>
          </w:r>
          <w:r>
            <w:fldChar w:fldCharType="separate"/>
          </w:r>
          <w:r>
            <w:rPr>
              <w:rStyle w:val="13"/>
            </w:rPr>
            <w:t xml:space="preserve">1. </w:t>
          </w:r>
          <w:r>
            <w:rPr>
              <w:rStyle w:val="13"/>
              <w:lang w:val="vi-VN"/>
            </w:rPr>
            <w:t>&lt;&lt;Feature Name&gt;&gt;</w:t>
          </w:r>
          <w:r>
            <w:tab/>
          </w:r>
          <w:r>
            <w:fldChar w:fldCharType="begin"/>
          </w:r>
          <w:r>
            <w:instrText xml:space="preserve"> PAGEREF _Toc143617351 \h </w:instrText>
          </w:r>
          <w:r>
            <w:fldChar w:fldCharType="separate"/>
          </w:r>
          <w:r>
            <w:t>8</w:t>
          </w:r>
          <w:r>
            <w:fldChar w:fldCharType="end"/>
          </w:r>
          <w:r>
            <w:fldChar w:fldCharType="end"/>
          </w:r>
        </w:p>
        <w:p w14:paraId="5CFF7195">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"_Toc143617352" </w:instrText>
          </w:r>
          <w:r>
            <w:fldChar w:fldCharType="separate"/>
          </w:r>
          <w:r>
            <w:rPr>
              <w:rStyle w:val="13"/>
              <w:lang w:val="vi-VN"/>
            </w:rPr>
            <w:t>1.1 &lt;&lt;UseCaseCode_UC Name&gt;&gt;</w:t>
          </w:r>
          <w:r>
            <w:tab/>
          </w:r>
          <w:r>
            <w:fldChar w:fldCharType="begin"/>
          </w:r>
          <w:r>
            <w:instrText xml:space="preserve"> PAGEREF _Toc143617352 \h </w:instrText>
          </w:r>
          <w:r>
            <w:fldChar w:fldCharType="separate"/>
          </w:r>
          <w:r>
            <w:t>8</w:t>
          </w:r>
          <w:r>
            <w:fldChar w:fldCharType="end"/>
          </w:r>
          <w:r>
            <w:fldChar w:fldCharType="end"/>
          </w:r>
        </w:p>
        <w:p w14:paraId="4EB54EF9">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"_Toc143617353" </w:instrText>
          </w:r>
          <w:r>
            <w:fldChar w:fldCharType="separate"/>
          </w:r>
          <w:r>
            <w:rPr>
              <w:rStyle w:val="13"/>
            </w:rPr>
            <w:t>2. Common Functions</w:t>
          </w:r>
          <w:r>
            <w:tab/>
          </w:r>
          <w:r>
            <w:fldChar w:fldCharType="begin"/>
          </w:r>
          <w:r>
            <w:instrText xml:space="preserve"> PAGEREF _Toc143617353 \h </w:instrText>
          </w:r>
          <w:r>
            <w:fldChar w:fldCharType="separate"/>
          </w:r>
          <w:r>
            <w:t>11</w:t>
          </w:r>
          <w:r>
            <w:fldChar w:fldCharType="end"/>
          </w:r>
          <w:r>
            <w:fldChar w:fldCharType="end"/>
          </w:r>
        </w:p>
        <w:p w14:paraId="1CA38B3D">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"_Toc143617354" </w:instrText>
          </w:r>
          <w:r>
            <w:fldChar w:fldCharType="separate"/>
          </w:r>
          <w:r>
            <w:rPr>
              <w:rStyle w:val="13"/>
            </w:rPr>
            <w:t>2.1</w:t>
          </w:r>
          <w:r>
            <w:rPr>
              <w:rStyle w:val="13"/>
              <w:lang w:val="vi-VN"/>
            </w:rPr>
            <w:t xml:space="preserve"> </w:t>
          </w:r>
          <w:r>
            <w:rPr>
              <w:rStyle w:val="13"/>
            </w:rPr>
            <w:t>UC-2_Login System</w:t>
          </w:r>
          <w:r>
            <w:tab/>
          </w:r>
          <w:r>
            <w:fldChar w:fldCharType="begin"/>
          </w:r>
          <w:r>
            <w:instrText xml:space="preserve"> PAGEREF _Toc143617354 \h </w:instrText>
          </w:r>
          <w:r>
            <w:fldChar w:fldCharType="separate"/>
          </w:r>
          <w:r>
            <w:t>11</w:t>
          </w:r>
          <w:r>
            <w:fldChar w:fldCharType="end"/>
          </w:r>
          <w:r>
            <w:fldChar w:fldCharType="end"/>
          </w:r>
        </w:p>
        <w:p w14:paraId="49216266">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"_Toc143617355" </w:instrText>
          </w:r>
          <w:r>
            <w:fldChar w:fldCharType="separate"/>
          </w:r>
          <w:r>
            <w:rPr>
              <w:rStyle w:val="13"/>
            </w:rPr>
            <w:t>3. Patron Feature</w:t>
          </w:r>
          <w:r>
            <w:tab/>
          </w:r>
          <w:r>
            <w:fldChar w:fldCharType="begin"/>
          </w:r>
          <w:r>
            <w:instrText xml:space="preserve"> PAGEREF _Toc143617355 \h </w:instrText>
          </w:r>
          <w:r>
            <w:fldChar w:fldCharType="separate"/>
          </w:r>
          <w:r>
            <w:t>12</w:t>
          </w:r>
          <w:r>
            <w:fldChar w:fldCharType="end"/>
          </w:r>
          <w:r>
            <w:fldChar w:fldCharType="end"/>
          </w:r>
        </w:p>
        <w:p w14:paraId="20C8C896">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"_Toc143617356" </w:instrText>
          </w:r>
          <w:r>
            <w:fldChar w:fldCharType="separate"/>
          </w:r>
          <w:r>
            <w:rPr>
              <w:rStyle w:val="13"/>
            </w:rPr>
            <w:t>3.1 UC-5_Order a Meal</w:t>
          </w:r>
          <w:r>
            <w:tab/>
          </w:r>
          <w:r>
            <w:fldChar w:fldCharType="begin"/>
          </w:r>
          <w:r>
            <w:instrText xml:space="preserve"> PAGEREF _Toc143617356 \h </w:instrText>
          </w:r>
          <w:r>
            <w:fldChar w:fldCharType="separate"/>
          </w:r>
          <w:r>
            <w:t>12</w:t>
          </w:r>
          <w:r>
            <w:fldChar w:fldCharType="end"/>
          </w:r>
          <w:r>
            <w:fldChar w:fldCharType="end"/>
          </w:r>
        </w:p>
        <w:p w14:paraId="51C3DAB0">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"_Toc143617357" </w:instrText>
          </w:r>
          <w:r>
            <w:fldChar w:fldCharType="separate"/>
          </w:r>
          <w:r>
            <w:rPr>
              <w:rStyle w:val="13"/>
            </w:rPr>
            <w:t>3.2 UC-6_Register for Payroll Deduction</w:t>
          </w:r>
          <w:r>
            <w:tab/>
          </w:r>
          <w:r>
            <w:fldChar w:fldCharType="begin"/>
          </w:r>
          <w:r>
            <w:instrText xml:space="preserve"> PAGEREF _Toc143617357 \h </w:instrText>
          </w:r>
          <w:r>
            <w:fldChar w:fldCharType="separate"/>
          </w:r>
          <w:r>
            <w:t>13</w:t>
          </w:r>
          <w:r>
            <w:fldChar w:fldCharType="end"/>
          </w:r>
          <w:r>
            <w:fldChar w:fldCharType="end"/>
          </w:r>
        </w:p>
        <w:p w14:paraId="61A9749E">
          <w:pPr>
            <w:pStyle w:val="18"/>
            <w:tabs>
              <w:tab w:val="right" w:leader="dot" w:pos="9350"/>
            </w:tabs>
            <w:rPr>
              <w:rFonts w:asciiTheme="minorHAnsi" w:hAnsiTheme="minorHAnsi" w:eastAsiaTheme="minorEastAsia" w:cstheme="minorBidi"/>
              <w:szCs w:val="22"/>
            </w:rPr>
          </w:pPr>
          <w:r>
            <w:fldChar w:fldCharType="begin"/>
          </w:r>
          <w:r>
            <w:instrText xml:space="preserve"> HYPERLINK \l "_Toc143617358" </w:instrText>
          </w:r>
          <w:r>
            <w:fldChar w:fldCharType="separate"/>
          </w:r>
          <w:r>
            <w:rPr>
              <w:rStyle w:val="13"/>
              <w:lang w:val="vi-VN"/>
            </w:rPr>
            <w:t xml:space="preserve">III. </w:t>
          </w:r>
          <w:r>
            <w:rPr>
              <w:rStyle w:val="13"/>
            </w:rPr>
            <w:t>Design Specifications</w:t>
          </w:r>
          <w:r>
            <w:tab/>
          </w:r>
          <w:r>
            <w:fldChar w:fldCharType="begin"/>
          </w:r>
          <w:r>
            <w:instrText xml:space="preserve"> PAGEREF _Toc143617358 \h </w:instrText>
          </w:r>
          <w:r>
            <w:fldChar w:fldCharType="separate"/>
          </w:r>
          <w:r>
            <w:t>14</w:t>
          </w:r>
          <w:r>
            <w:fldChar w:fldCharType="end"/>
          </w:r>
          <w:r>
            <w:fldChar w:fldCharType="end"/>
          </w:r>
        </w:p>
        <w:p w14:paraId="3CEBB3B4">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"_Toc143617359" </w:instrText>
          </w:r>
          <w:r>
            <w:fldChar w:fldCharType="separate"/>
          </w:r>
          <w:r>
            <w:rPr>
              <w:rStyle w:val="13"/>
            </w:rPr>
            <w:t xml:space="preserve">1. </w:t>
          </w:r>
          <w:r>
            <w:rPr>
              <w:rStyle w:val="13"/>
              <w:lang w:val="vi-VN"/>
            </w:rPr>
            <w:t>&lt;&lt;Feature Name&gt;&gt;</w:t>
          </w:r>
          <w:r>
            <w:tab/>
          </w:r>
          <w:r>
            <w:fldChar w:fldCharType="begin"/>
          </w:r>
          <w:r>
            <w:instrText xml:space="preserve"> PAGEREF _Toc143617359 \h </w:instrText>
          </w:r>
          <w:r>
            <w:fldChar w:fldCharType="separate"/>
          </w:r>
          <w:r>
            <w:t>14</w:t>
          </w:r>
          <w:r>
            <w:fldChar w:fldCharType="end"/>
          </w:r>
          <w:r>
            <w:fldChar w:fldCharType="end"/>
          </w:r>
        </w:p>
        <w:p w14:paraId="3959E638">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"_Toc143617360" </w:instrText>
          </w:r>
          <w:r>
            <w:fldChar w:fldCharType="separate"/>
          </w:r>
          <w:r>
            <w:rPr>
              <w:rStyle w:val="13"/>
              <w:lang w:val="vi-VN"/>
            </w:rPr>
            <w:t>1.1 &lt;&lt;SubFeature Name&gt;&gt;</w:t>
          </w:r>
          <w:r>
            <w:tab/>
          </w:r>
          <w:r>
            <w:fldChar w:fldCharType="begin"/>
          </w:r>
          <w:r>
            <w:instrText xml:space="preserve"> PAGEREF _Toc143617360 \h </w:instrText>
          </w:r>
          <w:r>
            <w:fldChar w:fldCharType="separate"/>
          </w:r>
          <w:r>
            <w:t>14</w:t>
          </w:r>
          <w:r>
            <w:fldChar w:fldCharType="end"/>
          </w:r>
          <w:r>
            <w:fldChar w:fldCharType="end"/>
          </w:r>
        </w:p>
        <w:p w14:paraId="48E1C66A">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"_Toc143617361" </w:instrText>
          </w:r>
          <w:r>
            <w:fldChar w:fldCharType="separate"/>
          </w:r>
          <w:r>
            <w:rPr>
              <w:rStyle w:val="13"/>
            </w:rPr>
            <w:t>1.2 System Access</w:t>
          </w:r>
          <w:r>
            <w:tab/>
          </w:r>
          <w:r>
            <w:fldChar w:fldCharType="begin"/>
          </w:r>
          <w:r>
            <w:instrText xml:space="preserve"> PAGEREF _Toc143617361 \h </w:instrText>
          </w:r>
          <w:r>
            <w:fldChar w:fldCharType="separate"/>
          </w:r>
          <w:r>
            <w:t>15</w:t>
          </w:r>
          <w:r>
            <w:fldChar w:fldCharType="end"/>
          </w:r>
          <w:r>
            <w:fldChar w:fldCharType="end"/>
          </w:r>
        </w:p>
        <w:p w14:paraId="1885A2B5">
          <w:pPr>
            <w:pStyle w:val="18"/>
            <w:tabs>
              <w:tab w:val="right" w:leader="dot" w:pos="9350"/>
            </w:tabs>
            <w:rPr>
              <w:rFonts w:asciiTheme="minorHAnsi" w:hAnsiTheme="minorHAnsi" w:eastAsiaTheme="minorEastAsia" w:cstheme="minorBidi"/>
              <w:szCs w:val="22"/>
            </w:rPr>
          </w:pPr>
          <w:r>
            <w:fldChar w:fldCharType="begin"/>
          </w:r>
          <w:r>
            <w:instrText xml:space="preserve"> HYPERLINK \l "_Toc143617362" </w:instrText>
          </w:r>
          <w:r>
            <w:fldChar w:fldCharType="separate"/>
          </w:r>
          <w:r>
            <w:rPr>
              <w:rStyle w:val="13"/>
            </w:rPr>
            <w:t>IV. Appendix</w:t>
          </w:r>
          <w:r>
            <w:tab/>
          </w:r>
          <w:r>
            <w:fldChar w:fldCharType="begin"/>
          </w:r>
          <w:r>
            <w:instrText xml:space="preserve"> PAGEREF _Toc143617362 \h </w:instrText>
          </w:r>
          <w:r>
            <w:fldChar w:fldCharType="separate"/>
          </w:r>
          <w:r>
            <w:t>19</w:t>
          </w:r>
          <w:r>
            <w:fldChar w:fldCharType="end"/>
          </w:r>
          <w:r>
            <w:fldChar w:fldCharType="end"/>
          </w:r>
        </w:p>
        <w:p w14:paraId="59BFB732">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"_Toc143617366" </w:instrText>
          </w:r>
          <w:r>
            <w:fldChar w:fldCharType="separate"/>
          </w:r>
          <w:r>
            <w:rPr>
              <w:rStyle w:val="13"/>
            </w:rPr>
            <w:t>1. Assumptions &amp; Dependencies</w:t>
          </w:r>
          <w:r>
            <w:tab/>
          </w:r>
          <w:r>
            <w:fldChar w:fldCharType="begin"/>
          </w:r>
          <w:r>
            <w:instrText xml:space="preserve"> PAGEREF _Toc143617366 \h </w:instrText>
          </w:r>
          <w:r>
            <w:fldChar w:fldCharType="separate"/>
          </w:r>
          <w:r>
            <w:t>19</w:t>
          </w:r>
          <w:r>
            <w:fldChar w:fldCharType="end"/>
          </w:r>
          <w:r>
            <w:fldChar w:fldCharType="end"/>
          </w:r>
        </w:p>
        <w:p w14:paraId="2AE3D0E8">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"_Toc143617367" </w:instrText>
          </w:r>
          <w:r>
            <w:fldChar w:fldCharType="separate"/>
          </w:r>
          <w:r>
            <w:rPr>
              <w:rStyle w:val="13"/>
            </w:rPr>
            <w:t>2. Limitations &amp; Exclusions</w:t>
          </w:r>
          <w:r>
            <w:tab/>
          </w:r>
          <w:r>
            <w:fldChar w:fldCharType="begin"/>
          </w:r>
          <w:r>
            <w:instrText xml:space="preserve"> PAGEREF _Toc143617367 \h </w:instrText>
          </w:r>
          <w:r>
            <w:fldChar w:fldCharType="separate"/>
          </w:r>
          <w:r>
            <w:t>19</w:t>
          </w:r>
          <w:r>
            <w:fldChar w:fldCharType="end"/>
          </w:r>
          <w:r>
            <w:fldChar w:fldCharType="end"/>
          </w:r>
        </w:p>
        <w:p w14:paraId="00D222A9">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"_Toc143617368" </w:instrText>
          </w:r>
          <w:r>
            <w:fldChar w:fldCharType="separate"/>
          </w:r>
          <w:r>
            <w:rPr>
              <w:rStyle w:val="13"/>
            </w:rPr>
            <w:t>3. Business Rules</w:t>
          </w:r>
          <w:r>
            <w:tab/>
          </w:r>
          <w:r>
            <w:fldChar w:fldCharType="begin"/>
          </w:r>
          <w:r>
            <w:instrText xml:space="preserve"> PAGEREF _Toc143617368 \h </w:instrText>
          </w:r>
          <w:r>
            <w:fldChar w:fldCharType="separate"/>
          </w:r>
          <w:r>
            <w:t>19</w:t>
          </w:r>
          <w:r>
            <w:fldChar w:fldCharType="end"/>
          </w:r>
          <w:r>
            <w:fldChar w:fldCharType="end"/>
          </w:r>
        </w:p>
        <w:p w14:paraId="188860B9">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"_Toc143617369" </w:instrText>
          </w:r>
          <w:r>
            <w:fldChar w:fldCharType="separate"/>
          </w:r>
          <w:r>
            <w:rPr>
              <w:rStyle w:val="13"/>
            </w:rPr>
            <w:t>4. ..</w:t>
          </w:r>
          <w:r>
            <w:tab/>
          </w:r>
          <w:r>
            <w:fldChar w:fldCharType="begin"/>
          </w:r>
          <w:r>
            <w:instrText xml:space="preserve"> PAGEREF _Toc143617369 \h </w:instrText>
          </w:r>
          <w:r>
            <w:fldChar w:fldCharType="separate"/>
          </w:r>
          <w:r>
            <w:t>19</w:t>
          </w:r>
          <w:r>
            <w:fldChar w:fldCharType="end"/>
          </w:r>
          <w:r>
            <w:fldChar w:fldCharType="end"/>
          </w:r>
        </w:p>
        <w:p w14:paraId="1304A1F4">
          <w:r>
            <w:rPr>
              <w:b/>
              <w:bCs/>
            </w:rPr>
            <w:fldChar w:fldCharType="end"/>
          </w:r>
        </w:p>
      </w:sdtContent>
    </w:sdt>
    <w:p w14:paraId="3FC39B31">
      <w:pPr>
        <w:spacing w:after="160" w:line="259" w:lineRule="auto"/>
        <w:rPr>
          <w:rFonts w:asciiTheme="majorHAnsi" w:hAnsiTheme="majorHAnsi" w:eastAsiaTheme="majorEastAsia" w:cstheme="majorBidi"/>
          <w:color w:val="2F5597" w:themeColor="accent1" w:themeShade="BF"/>
          <w:sz w:val="32"/>
          <w:szCs w:val="32"/>
        </w:rPr>
      </w:pPr>
      <w:r>
        <w:br w:type="page"/>
      </w:r>
    </w:p>
    <w:p>
      <w:pPr>
        <w:pageBreakBefore/>
        <w:keepNext/>
        <w:spacing w:before="320" w:after="120" w:line="276" w:lineRule="auto"/>
        <w:outlineLvl w:val="0"/>
      </w:pPr>
      <w:r>
        <w:rPr>
          <w:rFonts w:ascii="Times New Roman" w:hAnsi="Times New Roman"/>
          <w:sz w:val="32"/>
          <w:b/>
        </w:rPr>
        <w:t xml:space="preserve">III. Design Specifications</w:t>
      </w:r>
    </w:p>
    <w:p>
      <w:pPr>
        <w:spacing w:before="40" w:after="100" w:line="276" w:lineRule="auto"/>
      </w:pPr>
      <w:r>
        <w:rPr>
          <w:rFonts w:ascii="Times New Roman" w:hAnsi="Times New Roman"/>
          <w:sz w:val="22"/>
          <w:i/>
        </w:rPr>
        <w:t xml:space="preserve">This section translates the RMS requirement specifications into implementable screen, service, database and integration designs. UI labels may be refined during usability review, but access scope, workflow transitions and data ownership are mandatory.</w:t>
      </w:r>
    </w:p>
    <w:p>
      <w:pPr>
        <w:keepNext/>
        <w:spacing w:before="240" w:after="120" w:line="276" w:lineRule="auto"/>
        <w:outlineLvl w:val="1"/>
      </w:pPr>
      <w:r>
        <w:rPr>
          <w:rFonts w:ascii="Times New Roman" w:hAnsi="Times New Roman"/>
          <w:sz w:val="28"/>
          <w:b/>
        </w:rPr>
        <w:t xml:space="preserve">1. System Architecture and Shared Platform</w:t>
      </w:r>
    </w:p>
    <w:p>
      <w:pPr>
        <w:keepNext/>
        <w:spacing w:before="180" w:after="120" w:line="276" w:lineRule="auto"/>
        <w:outlineLvl w:val="2"/>
      </w:pPr>
      <w:r>
        <w:rPr>
          <w:rFonts w:ascii="Times New Roman" w:hAnsi="Times New Roman"/>
          <w:sz w:val="24"/>
          <w:b/>
        </w:rPr>
        <w:t xml:space="preserve">1.1 High-Level Runtime Design</w:t>
      </w:r>
    </w:p>
    <w:p>
      <w:pPr>
        <w:keepNext/>
        <w:spacing w:before="40" w:after="120" w:line="276" w:lineRule="auto"/>
        <w:outlineLvl w:val="3"/>
      </w:pPr>
      <w:r>
        <w:rPr>
          <w:rFonts w:ascii="Times New Roman" w:hAnsi="Times New Roman"/>
          <w:sz w:val="22"/>
          <w:b/>
        </w:rPr>
        <w:t xml:space="preserve">a. Screen / Function Description</w:t>
      </w:r>
    </w:p>
    <w:p>
      <w:pPr>
        <w:spacing w:before="40" w:after="100" w:line="276" w:lineRule="auto"/>
      </w:pPr>
      <w:r>
        <w:rPr>
          <w:rFonts w:ascii="Times New Roman" w:hAnsi="Times New Roman"/>
          <w:sz w:val="22"/>
        </w:rPr>
        <w:t xml:space="preserve">RMS is a TypeScript monorepo. React/Vite communicates with the NestJS HTTP Gateway. The Gateway validates JWT and roles, then calls Identity, Recruiting, Profiles/CV, Interview and Notification services. PostgreSQL is shared through Prisma; Redis/BullMQ handles asynchronous CV parsing, embeddings and reminders.</w:t>
      </w:r>
    </w:p>
    <w:p>
      <w:pPr>
        <w:spacing w:before="40" w:after="100" w:line="276" w:lineRule="auto"/>
      </w:pPr>
      <w:r>
        <w:rPr>
          <w:rFonts w:ascii="Times New Roman" w:hAnsi="Times New Roman"/>
          <w:sz w:val="22"/>
          <w:i/>
        </w:rPr>
        <w:t xml:space="preserve">Related use cases: UC-60, UC-61 and all cross-cutting use cases</w:t>
      </w:r>
    </w:p>
    <w:p>
      <w:pPr>
        <w:keepNext/>
        <w:spacing w:before="40" w:after="120" w:line="276" w:lineRule="auto"/>
        <w:outlineLvl w:val="3"/>
      </w:pPr>
      <w:r>
        <w:rPr>
          <w:rFonts w:ascii="Times New Roman" w:hAnsi="Times New Roman"/>
          <w:sz w:val="22"/>
          <w:b/>
        </w:rPr>
        <w:t xml:space="preserve">UI Design and Components</w:t>
      </w:r>
    </w:p>
    <w:tbl>
      <w:tblPr>
        <w:tblW w:w="9360" w:type="dxa"/>
        <w:tblInd w:w="0" w:type="dxa"/>
        <w:tblLayout w:type="fixed"/>
        <w:tblBorders>
          <w:top w:val="single" w:sz="6" w:color="7F7F7F"/>
          <w:left w:val="single" w:sz="6" w:color="7F7F7F"/>
          <w:bottom w:val="single" w:sz="6" w:color="7F7F7F"/>
          <w:right w:val="single" w:sz="6" w:color="7F7F7F"/>
          <w:insideH w:val="single" w:sz="4" w:color="BFBFBF"/>
          <w:insideV w:val="single" w:sz="4" w:color="BFBFBF"/>
        </w:tblBorders>
      </w:tblPr>
      <w:tblGrid>
        <w:gridCol w:w="2100"/>
        <w:gridCol w:w="1800"/>
        <w:gridCol w:w="5460"/>
      </w:tblGrid>
      <w:tr>
        <w:trPr>
          <w:tblHeader/>
        </w:trPr>
        <w:tc>
          <w:tcPr>
            <w:tcW w:w="210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Field / Component</w:t>
            </w:r>
          </w:p>
        </w:tc>
        <w:tc>
          <w:tcPr>
            <w:tcW w:w="180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Field Type</w:t>
            </w:r>
          </w:p>
        </w:tc>
        <w:tc>
          <w:tcPr>
            <w:tcW w:w="546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Description</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Web application</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React 19 SPA</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Role-specific routes, forms, dashboards and reusable UI components.</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API Gateway</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NestJS HTTP</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REST endpoint, Swagger, validation, JWT/role guard and TCP proxy.</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Domain services</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NestJS microservices</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Identity, Recruiting, Profiles/CV, Interview and Notification business logic.</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Worker</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BullMQ consumer</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Processes CV extraction, embedding and deadline notification jobs.</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Data platform</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PostgreSQL + pgvector</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Transactional RMS data and 384-dimensional vector search.</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Queue/cache</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Redis 7</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BullMQ transport, retry control and asynchronous processing.</w:t>
            </w:r>
          </w:p>
        </w:tc>
      </w:tr>
    </w:tbl>
    <w:p>
      <w:pPr>
        <w:spacing w:before="40" w:after="100" w:line="276" w:lineRule="auto"/>
      </w:pPr>
      <w:r>
        <w:rPr>
          <w:rFonts w:ascii="Times New Roman" w:hAnsi="Times New Roman"/>
          <w:sz w:val="22"/>
        </w:rPr>
        <w:t xml:space="preserve"/>
      </w:r>
    </w:p>
    <w:p>
      <w:pPr>
        <w:keepNext/>
        <w:spacing w:before="40" w:after="120" w:line="276" w:lineRule="auto"/>
        <w:outlineLvl w:val="3"/>
      </w:pPr>
      <w:r>
        <w:rPr>
          <w:rFonts w:ascii="Times New Roman" w:hAnsi="Times New Roman"/>
          <w:sz w:val="22"/>
          <w:b/>
        </w:rPr>
        <w:t xml:space="preserve">Database Access</w:t>
      </w:r>
    </w:p>
    <w:tbl>
      <w:tblPr>
        <w:tblW w:w="9360" w:type="dxa"/>
        <w:tblInd w:w="0" w:type="dxa"/>
        <w:tblLayout w:type="fixed"/>
        <w:tblBorders>
          <w:top w:val="single" w:sz="6" w:color="7F7F7F"/>
          <w:left w:val="single" w:sz="6" w:color="7F7F7F"/>
          <w:bottom w:val="single" w:sz="6" w:color="7F7F7F"/>
          <w:right w:val="single" w:sz="6" w:color="7F7F7F"/>
          <w:insideH w:val="single" w:sz="4" w:color="BFBFBF"/>
          <w:insideV w:val="single" w:sz="4" w:color="BFBFBF"/>
        </w:tblBorders>
      </w:tblPr>
      <w:tblGrid>
        <w:gridCol w:w="2350"/>
        <w:gridCol w:w="900"/>
        <w:gridCol w:w="6110"/>
      </w:tblGrid>
      <w:tr>
        <w:trPr>
          <w:tblHeader/>
        </w:trPr>
        <w:tc>
          <w:tcPr>
            <w:tcW w:w="235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Table / Store</w:t>
            </w:r>
          </w:p>
        </w:tc>
        <w:tc>
          <w:tcPr>
            <w:tcW w:w="90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CRUD</w:t>
            </w:r>
          </w:p>
        </w:tc>
        <w:tc>
          <w:tcPr>
            <w:tcW w:w="611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Description</w:t>
            </w:r>
          </w:p>
        </w:tc>
      </w:tr>
      <w:tr>
        <w:tc>
          <w:tcPr>
            <w:tcW w:w="23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All domain tables</w:t>
            </w:r>
          </w:p>
        </w:tc>
        <w:tc>
          <w:tcPr>
            <w:tcW w:w="9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CRUD</w:t>
            </w:r>
          </w:p>
        </w:tc>
        <w:tc>
          <w:tcPr>
            <w:tcW w:w="611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Accessed through service-owned Prisma repositories; the Gateway does not query the database directly.</w:t>
            </w:r>
          </w:p>
        </w:tc>
      </w:tr>
      <w:tr>
        <w:tc>
          <w:tcPr>
            <w:tcW w:w="23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AuditLog / RequestLog</w:t>
            </w:r>
          </w:p>
        </w:tc>
        <w:tc>
          <w:tcPr>
            <w:tcW w:w="9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C,R</w:t>
            </w:r>
          </w:p>
        </w:tc>
        <w:tc>
          <w:tcPr>
            <w:tcW w:w="611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Records actor, transition, entity and timestamp for traceability.</w:t>
            </w:r>
          </w:p>
        </w:tc>
      </w:tr>
      <w:tr>
        <w:tc>
          <w:tcPr>
            <w:tcW w:w="23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Redis queues</w:t>
            </w:r>
          </w:p>
        </w:tc>
        <w:tc>
          <w:tcPr>
            <w:tcW w:w="9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C,R,U,D</w:t>
            </w:r>
          </w:p>
        </w:tc>
        <w:tc>
          <w:tcPr>
            <w:tcW w:w="611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Stores pending, active, completed and failed background jobs with retry policies.</w:t>
            </w:r>
          </w:p>
        </w:tc>
      </w:tr>
    </w:tbl>
    <w:p>
      <w:pPr>
        <w:spacing w:before="40" w:after="100" w:line="276" w:lineRule="auto"/>
      </w:pPr>
      <w:r>
        <w:rPr>
          <w:rFonts w:ascii="Times New Roman" w:hAnsi="Times New Roman"/>
          <w:sz w:val="22"/>
        </w:rPr>
        <w:t xml:space="preserve"/>
      </w:r>
    </w:p>
    <w:p>
      <w:pPr>
        <w:keepNext/>
        <w:spacing w:before="40" w:after="120" w:line="276" w:lineRule="auto"/>
        <w:outlineLvl w:val="3"/>
      </w:pPr>
      <w:r>
        <w:rPr>
          <w:rFonts w:ascii="Times New Roman" w:hAnsi="Times New Roman"/>
          <w:sz w:val="22"/>
          <w:b/>
        </w:rPr>
        <w:t xml:space="preserve">API / Implementation Design</w:t>
      </w:r>
    </w:p>
    <w:p>
      <w:pPr>
        <w:spacing w:before="40" w:after="100" w:line="276" w:lineRule="auto"/>
      </w:pPr>
      <w:r>
        <w:rPr>
          <w:rFonts w:ascii="Times New Roman" w:hAnsi="Times New Roman"/>
          <w:sz w:val="22"/>
        </w:rPr>
        <w:t xml:space="preserve">Key paths: services/gateway, services/identity, services/recruiting, services/profiles, services/cv, services/interview, services/notification, services/worker, packages/contracts, packages/database, packages/queue and packages/ai.</w:t>
      </w:r>
    </w:p>
    <w:p>
      <w:pPr>
        <w:spacing w:before="40" w:after="100" w:line="276" w:lineRule="auto"/>
      </w:pPr>
      <w:r>
        <w:rPr>
          <w:rFonts w:ascii="Times New Roman" w:hAnsi="Times New Roman"/>
          <w:sz w:val="22"/>
        </w:rPr>
        <w:t xml:space="preserve">Data-access rule: all mutations are validated and authorized before Prisma/queue operations. Queries are parameterized through Prisma or safe pgvector helpers; passwords, tokens and secrets are never embedded in SQL or returned in API payloads.</w:t>
      </w:r>
    </w:p>
    <w:p>
      <w:pPr>
        <w:keepNext/>
        <w:spacing w:before="240" w:after="120" w:line="276" w:lineRule="auto"/>
        <w:outlineLvl w:val="1"/>
      </w:pPr>
      <w:r>
        <w:rPr>
          <w:rFonts w:ascii="Times New Roman" w:hAnsi="Times New Roman"/>
          <w:sz w:val="28"/>
          <w:b/>
        </w:rPr>
        <w:t xml:space="preserve">2. Authentication, Identity and Administration</w:t>
      </w:r>
    </w:p>
    <w:p>
      <w:pPr>
        <w:keepNext/>
        <w:spacing w:before="180" w:after="120" w:line="276" w:lineRule="auto"/>
        <w:outlineLvl w:val="2"/>
      </w:pPr>
      <w:r>
        <w:rPr>
          <w:rFonts w:ascii="Times New Roman" w:hAnsi="Times New Roman"/>
          <w:sz w:val="24"/>
          <w:b/>
        </w:rPr>
        <w:t xml:space="preserve">2.1 Login, Profile, User and Organization Management</w:t>
      </w:r>
    </w:p>
    <w:p>
      <w:pPr>
        <w:keepNext/>
        <w:spacing w:before="40" w:after="120" w:line="276" w:lineRule="auto"/>
        <w:outlineLvl w:val="3"/>
      </w:pPr>
      <w:r>
        <w:rPr>
          <w:rFonts w:ascii="Times New Roman" w:hAnsi="Times New Roman"/>
          <w:sz w:val="22"/>
          <w:b/>
        </w:rPr>
        <w:t xml:space="preserve">a. Screen / Function Description</w:t>
      </w:r>
    </w:p>
    <w:p>
      <w:pPr>
        <w:spacing w:before="40" w:after="100" w:line="276" w:lineRule="auto"/>
      </w:pPr>
      <w:r>
        <w:rPr>
          <w:rFonts w:ascii="Times New Roman" w:hAnsi="Times New Roman"/>
          <w:sz w:val="22"/>
        </w:rPr>
        <w:t xml:space="preserve">Provides registration, OTP verification, login, refresh-token rotation, logout, password recovery, profile management, user/role/status administration, organizations, departments and Google Calendar connection. The frontend redirects users to the dashboard permitted by their canonical role.</w:t>
      </w:r>
    </w:p>
    <w:p>
      <w:pPr>
        <w:spacing w:before="40" w:after="100" w:line="276" w:lineRule="auto"/>
      </w:pPr>
      <w:r>
        <w:rPr>
          <w:rFonts w:ascii="Times New Roman" w:hAnsi="Times New Roman"/>
          <w:sz w:val="22"/>
          <w:i/>
        </w:rPr>
        <w:t xml:space="preserve">Related use cases: UC-01 to UC-15, UC-60</w:t>
      </w:r>
    </w:p>
    <w:p>
      <w:pPr>
        <w:keepNext/>
        <w:spacing w:before="40" w:after="120" w:line="276" w:lineRule="auto"/>
        <w:outlineLvl w:val="3"/>
      </w:pPr>
      <w:r>
        <w:rPr>
          <w:rFonts w:ascii="Times New Roman" w:hAnsi="Times New Roman"/>
          <w:sz w:val="22"/>
          <w:b/>
        </w:rPr>
        <w:t xml:space="preserve">UI Design and Components</w:t>
      </w:r>
    </w:p>
    <w:tbl>
      <w:tblPr>
        <w:tblW w:w="9360" w:type="dxa"/>
        <w:tblInd w:w="0" w:type="dxa"/>
        <w:tblLayout w:type="fixed"/>
        <w:tblBorders>
          <w:top w:val="single" w:sz="6" w:color="7F7F7F"/>
          <w:left w:val="single" w:sz="6" w:color="7F7F7F"/>
          <w:bottom w:val="single" w:sz="6" w:color="7F7F7F"/>
          <w:right w:val="single" w:sz="6" w:color="7F7F7F"/>
          <w:insideH w:val="single" w:sz="4" w:color="BFBFBF"/>
          <w:insideV w:val="single" w:sz="4" w:color="BFBFBF"/>
        </w:tblBorders>
      </w:tblPr>
      <w:tblGrid>
        <w:gridCol w:w="2100"/>
        <w:gridCol w:w="1800"/>
        <w:gridCol w:w="5460"/>
      </w:tblGrid>
      <w:tr>
        <w:trPr>
          <w:tblHeader/>
        </w:trPr>
        <w:tc>
          <w:tcPr>
            <w:tcW w:w="210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Field / Component</w:t>
            </w:r>
          </w:p>
        </w:tc>
        <w:tc>
          <w:tcPr>
            <w:tcW w:w="180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Field Type</w:t>
            </w:r>
          </w:p>
        </w:tc>
        <w:tc>
          <w:tcPr>
            <w:tcW w:w="546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Description</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Email</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Text box</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Required login/registration identifier; normalized and checked for uniqueness.</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Password</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Password box</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Validated client-side and server-side; stored only as a password hash.</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OTP</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Numeric/text input</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Short-lived registration or reset verification code.</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Role</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Select</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ADMIN, HR_MANAGER/HR, DEPARTMENT_HEAD or CANDIDATE according to canonical contracts.</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Account status</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Switch/select</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Activates or deactivates internal accounts.</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Organization / Department</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Select</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Scopes user access, reporting and recruitment ownership.</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Google Calendar</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Connect action</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Starts OAuth and stores refresh token for authorized scheduling.</w:t>
            </w:r>
          </w:p>
        </w:tc>
      </w:tr>
    </w:tbl>
    <w:p>
      <w:pPr>
        <w:spacing w:before="40" w:after="100" w:line="276" w:lineRule="auto"/>
      </w:pPr>
      <w:r>
        <w:rPr>
          <w:rFonts w:ascii="Times New Roman" w:hAnsi="Times New Roman"/>
          <w:sz w:val="22"/>
        </w:rPr>
        <w:t xml:space="preserve"/>
      </w:r>
    </w:p>
    <w:p>
      <w:pPr>
        <w:keepNext/>
        <w:spacing w:before="40" w:after="120" w:line="276" w:lineRule="auto"/>
        <w:outlineLvl w:val="3"/>
      </w:pPr>
      <w:r>
        <w:rPr>
          <w:rFonts w:ascii="Times New Roman" w:hAnsi="Times New Roman"/>
          <w:sz w:val="22"/>
          <w:b/>
        </w:rPr>
        <w:t xml:space="preserve">Database Access</w:t>
      </w:r>
    </w:p>
    <w:tbl>
      <w:tblPr>
        <w:tblW w:w="9360" w:type="dxa"/>
        <w:tblInd w:w="0" w:type="dxa"/>
        <w:tblLayout w:type="fixed"/>
        <w:tblBorders>
          <w:top w:val="single" w:sz="6" w:color="7F7F7F"/>
          <w:left w:val="single" w:sz="6" w:color="7F7F7F"/>
          <w:bottom w:val="single" w:sz="6" w:color="7F7F7F"/>
          <w:right w:val="single" w:sz="6" w:color="7F7F7F"/>
          <w:insideH w:val="single" w:sz="4" w:color="BFBFBF"/>
          <w:insideV w:val="single" w:sz="4" w:color="BFBFBF"/>
        </w:tblBorders>
      </w:tblPr>
      <w:tblGrid>
        <w:gridCol w:w="2350"/>
        <w:gridCol w:w="900"/>
        <w:gridCol w:w="6110"/>
      </w:tblGrid>
      <w:tr>
        <w:trPr>
          <w:tblHeader/>
        </w:trPr>
        <w:tc>
          <w:tcPr>
            <w:tcW w:w="235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Table / Store</w:t>
            </w:r>
          </w:p>
        </w:tc>
        <w:tc>
          <w:tcPr>
            <w:tcW w:w="90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CRUD</w:t>
            </w:r>
          </w:p>
        </w:tc>
        <w:tc>
          <w:tcPr>
            <w:tcW w:w="611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Description</w:t>
            </w:r>
          </w:p>
        </w:tc>
      </w:tr>
      <w:tr>
        <w:tc>
          <w:tcPr>
            <w:tcW w:w="23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User</w:t>
            </w:r>
          </w:p>
        </w:tc>
        <w:tc>
          <w:tcPr>
            <w:tcW w:w="9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C,R,U,D</w:t>
            </w:r>
          </w:p>
        </w:tc>
        <w:tc>
          <w:tcPr>
            <w:tcW w:w="611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Account, role, status, profile summary and Google Calendar refresh token.</w:t>
            </w:r>
          </w:p>
        </w:tc>
      </w:tr>
      <w:tr>
        <w:tc>
          <w:tcPr>
            <w:tcW w:w="23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Organization</w:t>
            </w:r>
          </w:p>
        </w:tc>
        <w:tc>
          <w:tcPr>
            <w:tcW w:w="9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C,R,U</w:t>
            </w:r>
          </w:p>
        </w:tc>
        <w:tc>
          <w:tcPr>
            <w:tcW w:w="611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Company-level configuration and settings.</w:t>
            </w:r>
          </w:p>
        </w:tc>
      </w:tr>
      <w:tr>
        <w:tc>
          <w:tcPr>
            <w:tcW w:w="23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Department</w:t>
            </w:r>
          </w:p>
        </w:tc>
        <w:tc>
          <w:tcPr>
            <w:tcW w:w="9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C,R,U,D</w:t>
            </w:r>
          </w:p>
        </w:tc>
        <w:tc>
          <w:tcPr>
            <w:tcW w:w="611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Department structure and department-head ownership.</w:t>
            </w:r>
          </w:p>
        </w:tc>
      </w:tr>
      <w:tr>
        <w:tc>
          <w:tcPr>
            <w:tcW w:w="23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AuditLog</w:t>
            </w:r>
          </w:p>
        </w:tc>
        <w:tc>
          <w:tcPr>
            <w:tcW w:w="9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C,R</w:t>
            </w:r>
          </w:p>
        </w:tc>
        <w:tc>
          <w:tcPr>
            <w:tcW w:w="611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Records administrative account and role changes.</w:t>
            </w:r>
          </w:p>
        </w:tc>
      </w:tr>
    </w:tbl>
    <w:p>
      <w:pPr>
        <w:spacing w:before="40" w:after="100" w:line="276" w:lineRule="auto"/>
      </w:pPr>
      <w:r>
        <w:rPr>
          <w:rFonts w:ascii="Times New Roman" w:hAnsi="Times New Roman"/>
          <w:sz w:val="22"/>
        </w:rPr>
        <w:t xml:space="preserve"/>
      </w:r>
    </w:p>
    <w:p>
      <w:pPr>
        <w:keepNext/>
        <w:spacing w:before="40" w:after="120" w:line="276" w:lineRule="auto"/>
        <w:outlineLvl w:val="3"/>
      </w:pPr>
      <w:r>
        <w:rPr>
          <w:rFonts w:ascii="Times New Roman" w:hAnsi="Times New Roman"/>
          <w:sz w:val="22"/>
          <w:b/>
        </w:rPr>
        <w:t xml:space="preserve">API / Implementation Design</w:t>
      </w:r>
    </w:p>
    <w:p>
      <w:pPr>
        <w:spacing w:before="40" w:after="100" w:line="276" w:lineRule="auto"/>
      </w:pPr>
      <w:r>
        <w:rPr>
          <w:rFonts w:ascii="Times New Roman" w:hAnsi="Times New Roman"/>
          <w:sz w:val="22"/>
        </w:rPr>
        <w:t xml:space="preserve">Representative APIs: /api/v1/auth/*, /api/v1/me/profile, /api/v1/users, /api/v1/organizations, /api/v1/departments, /api/v1/google-calendar/auth-url and /api/v1/oauth2callback.</w:t>
      </w:r>
    </w:p>
    <w:p>
      <w:pPr>
        <w:spacing w:before="40" w:after="100" w:line="276" w:lineRule="auto"/>
      </w:pPr>
      <w:r>
        <w:rPr>
          <w:rFonts w:ascii="Times New Roman" w:hAnsi="Times New Roman"/>
          <w:sz w:val="22"/>
        </w:rPr>
        <w:t xml:space="preserve">Data-access rule: all mutations are validated and authorized before Prisma/queue operations. Queries are parameterized through Prisma or safe pgvector helpers; passwords, tokens and secrets are never embedded in SQL or returned in API payloads.</w:t>
      </w:r>
    </w:p>
    <w:p>
      <w:pPr>
        <w:keepNext/>
        <w:spacing w:before="240" w:after="120" w:line="276" w:lineRule="auto"/>
        <w:outlineLvl w:val="1"/>
      </w:pPr>
      <w:r>
        <w:rPr>
          <w:rFonts w:ascii="Times New Roman" w:hAnsi="Times New Roman"/>
          <w:sz w:val="28"/>
          <w:b/>
        </w:rPr>
        <w:t xml:space="preserve">3. Recruitment Request and Approval Workflow</w:t>
      </w:r>
    </w:p>
    <w:p>
      <w:pPr>
        <w:keepNext/>
        <w:spacing w:before="180" w:after="120" w:line="276" w:lineRule="auto"/>
        <w:outlineLvl w:val="2"/>
      </w:pPr>
      <w:r>
        <w:rPr>
          <w:rFonts w:ascii="Times New Roman" w:hAnsi="Times New Roman"/>
          <w:sz w:val="24"/>
          <w:b/>
        </w:rPr>
        <w:t xml:space="preserve">3.1 Request Creation, Review, Approval and Timeline</w:t>
      </w:r>
    </w:p>
    <w:p>
      <w:pPr>
        <w:keepNext/>
        <w:spacing w:before="40" w:after="120" w:line="276" w:lineRule="auto"/>
        <w:outlineLvl w:val="3"/>
      </w:pPr>
      <w:r>
        <w:rPr>
          <w:rFonts w:ascii="Times New Roman" w:hAnsi="Times New Roman"/>
          <w:sz w:val="22"/>
          <w:b/>
        </w:rPr>
        <w:t xml:space="preserve">a. Screen / Function Description</w:t>
      </w:r>
    </w:p>
    <w:p>
      <w:pPr>
        <w:spacing w:before="40" w:after="100" w:line="276" w:lineRule="auto"/>
      </w:pPr>
      <w:r>
        <w:rPr>
          <w:rFonts w:ascii="Times New Roman" w:hAnsi="Times New Roman"/>
          <w:sz w:val="22"/>
        </w:rPr>
        <w:t xml:space="preserve">Department Heads create recruitment requests, save drafts and submit them to HR. HR validates business need, assigns recruiters, requests revision or forwards to Admin. Admin makes the final approval/rejection decision. Every transition is state-validated and written to the request log.</w:t>
      </w:r>
    </w:p>
    <w:p>
      <w:pPr>
        <w:spacing w:before="40" w:after="100" w:line="276" w:lineRule="auto"/>
      </w:pPr>
      <w:r>
        <w:rPr>
          <w:rFonts w:ascii="Times New Roman" w:hAnsi="Times New Roman"/>
          <w:sz w:val="22"/>
          <w:i/>
        </w:rPr>
        <w:t xml:space="preserve">Related use cases: UC-16 to UC-23</w:t>
      </w:r>
    </w:p>
    <w:p>
      <w:pPr>
        <w:keepNext/>
        <w:spacing w:before="40" w:after="120" w:line="276" w:lineRule="auto"/>
        <w:outlineLvl w:val="3"/>
      </w:pPr>
      <w:r>
        <w:rPr>
          <w:rFonts w:ascii="Times New Roman" w:hAnsi="Times New Roman"/>
          <w:sz w:val="22"/>
          <w:b/>
        </w:rPr>
        <w:t xml:space="preserve">UI Design and Components</w:t>
      </w:r>
    </w:p>
    <w:tbl>
      <w:tblPr>
        <w:tblW w:w="9360" w:type="dxa"/>
        <w:tblInd w:w="0" w:type="dxa"/>
        <w:tblLayout w:type="fixed"/>
        <w:tblBorders>
          <w:top w:val="single" w:sz="6" w:color="7F7F7F"/>
          <w:left w:val="single" w:sz="6" w:color="7F7F7F"/>
          <w:bottom w:val="single" w:sz="6" w:color="7F7F7F"/>
          <w:right w:val="single" w:sz="6" w:color="7F7F7F"/>
          <w:insideH w:val="single" w:sz="4" w:color="BFBFBF"/>
          <w:insideV w:val="single" w:sz="4" w:color="BFBFBF"/>
        </w:tblBorders>
      </w:tblPr>
      <w:tblGrid>
        <w:gridCol w:w="2100"/>
        <w:gridCol w:w="1800"/>
        <w:gridCol w:w="5460"/>
      </w:tblGrid>
      <w:tr>
        <w:trPr>
          <w:tblHeader/>
        </w:trPr>
        <w:tc>
          <w:tcPr>
            <w:tcW w:w="210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Field / Component</w:t>
            </w:r>
          </w:p>
        </w:tc>
        <w:tc>
          <w:tcPr>
            <w:tcW w:w="180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Field Type</w:t>
            </w:r>
          </w:p>
        </w:tc>
        <w:tc>
          <w:tcPr>
            <w:tcW w:w="546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Description</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Position title</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Text box</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Required role/position requested by the department.</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Headcount</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Number</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Positive requested hiring quantity.</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Job description</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Rich text/textarea</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Responsibilities, skills, qualification and business justification.</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Urgency / dates</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Select/date</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Priority and expected recruitment period.</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Assignee</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User select</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Eligible active HR member responsible for handling the request.</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Decision / reason</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Action + textarea</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Approve, reject, request changes or return for revision with mandatory reason where applicable.</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Timeline</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Read-only list</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Displays RequestLog entries in chronological order.</w:t>
            </w:r>
          </w:p>
        </w:tc>
      </w:tr>
    </w:tbl>
    <w:p>
      <w:pPr>
        <w:spacing w:before="40" w:after="100" w:line="276" w:lineRule="auto"/>
      </w:pPr>
      <w:r>
        <w:rPr>
          <w:rFonts w:ascii="Times New Roman" w:hAnsi="Times New Roman"/>
          <w:sz w:val="22"/>
        </w:rPr>
        <w:t xml:space="preserve"/>
      </w:r>
    </w:p>
    <w:p>
      <w:pPr>
        <w:keepNext/>
        <w:spacing w:before="40" w:after="120" w:line="276" w:lineRule="auto"/>
        <w:outlineLvl w:val="3"/>
      </w:pPr>
      <w:r>
        <w:rPr>
          <w:rFonts w:ascii="Times New Roman" w:hAnsi="Times New Roman"/>
          <w:sz w:val="22"/>
          <w:b/>
        </w:rPr>
        <w:t xml:space="preserve">Database Access</w:t>
      </w:r>
    </w:p>
    <w:tbl>
      <w:tblPr>
        <w:tblW w:w="9360" w:type="dxa"/>
        <w:tblInd w:w="0" w:type="dxa"/>
        <w:tblLayout w:type="fixed"/>
        <w:tblBorders>
          <w:top w:val="single" w:sz="6" w:color="7F7F7F"/>
          <w:left w:val="single" w:sz="6" w:color="7F7F7F"/>
          <w:bottom w:val="single" w:sz="6" w:color="7F7F7F"/>
          <w:right w:val="single" w:sz="6" w:color="7F7F7F"/>
          <w:insideH w:val="single" w:sz="4" w:color="BFBFBF"/>
          <w:insideV w:val="single" w:sz="4" w:color="BFBFBF"/>
        </w:tblBorders>
      </w:tblPr>
      <w:tblGrid>
        <w:gridCol w:w="2350"/>
        <w:gridCol w:w="900"/>
        <w:gridCol w:w="6110"/>
      </w:tblGrid>
      <w:tr>
        <w:trPr>
          <w:tblHeader/>
        </w:trPr>
        <w:tc>
          <w:tcPr>
            <w:tcW w:w="235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Table / Store</w:t>
            </w:r>
          </w:p>
        </w:tc>
        <w:tc>
          <w:tcPr>
            <w:tcW w:w="90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CRUD</w:t>
            </w:r>
          </w:p>
        </w:tc>
        <w:tc>
          <w:tcPr>
            <w:tcW w:w="611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Description</w:t>
            </w:r>
          </w:p>
        </w:tc>
      </w:tr>
      <w:tr>
        <w:tc>
          <w:tcPr>
            <w:tcW w:w="23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RecruitmentRequest</w:t>
            </w:r>
          </w:p>
        </w:tc>
        <w:tc>
          <w:tcPr>
            <w:tcW w:w="9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C,R,U,D</w:t>
            </w:r>
          </w:p>
        </w:tc>
        <w:tc>
          <w:tcPr>
            <w:tcW w:w="611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Stores request content, owner, assignee, lifecycle state and filled count.</w:t>
            </w:r>
          </w:p>
        </w:tc>
      </w:tr>
      <w:tr>
        <w:tc>
          <w:tcPr>
            <w:tcW w:w="23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ApprovalRecord</w:t>
            </w:r>
          </w:p>
        </w:tc>
        <w:tc>
          <w:tcPr>
            <w:tcW w:w="9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C,R</w:t>
            </w:r>
          </w:p>
        </w:tc>
        <w:tc>
          <w:tcPr>
            <w:tcW w:w="611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Stores formal review/approval decisions.</w:t>
            </w:r>
          </w:p>
        </w:tc>
      </w:tr>
      <w:tr>
        <w:tc>
          <w:tcPr>
            <w:tcW w:w="23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RequestLog</w:t>
            </w:r>
          </w:p>
        </w:tc>
        <w:tc>
          <w:tcPr>
            <w:tcW w:w="9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C,R</w:t>
            </w:r>
          </w:p>
        </w:tc>
        <w:tc>
          <w:tcPr>
            <w:tcW w:w="611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Immutable workflow transition and note history.</w:t>
            </w:r>
          </w:p>
        </w:tc>
      </w:tr>
      <w:tr>
        <w:tc>
          <w:tcPr>
            <w:tcW w:w="23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Department / User</w:t>
            </w:r>
          </w:p>
        </w:tc>
        <w:tc>
          <w:tcPr>
            <w:tcW w:w="9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R</w:t>
            </w:r>
          </w:p>
        </w:tc>
        <w:tc>
          <w:tcPr>
            <w:tcW w:w="611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Resolves department scope, requester and HR assignee.</w:t>
            </w:r>
          </w:p>
        </w:tc>
      </w:tr>
    </w:tbl>
    <w:p>
      <w:pPr>
        <w:spacing w:before="40" w:after="100" w:line="276" w:lineRule="auto"/>
      </w:pPr>
      <w:r>
        <w:rPr>
          <w:rFonts w:ascii="Times New Roman" w:hAnsi="Times New Roman"/>
          <w:sz w:val="22"/>
        </w:rPr>
        <w:t xml:space="preserve"/>
      </w:r>
    </w:p>
    <w:p>
      <w:pPr>
        <w:keepNext/>
        <w:spacing w:before="40" w:after="120" w:line="276" w:lineRule="auto"/>
        <w:outlineLvl w:val="3"/>
      </w:pPr>
      <w:r>
        <w:rPr>
          <w:rFonts w:ascii="Times New Roman" w:hAnsi="Times New Roman"/>
          <w:sz w:val="22"/>
          <w:b/>
        </w:rPr>
        <w:t xml:space="preserve">API / Implementation Design</w:t>
      </w:r>
    </w:p>
    <w:p>
      <w:pPr>
        <w:spacing w:before="40" w:after="100" w:line="276" w:lineRule="auto"/>
      </w:pPr>
      <w:r>
        <w:rPr>
          <w:rFonts w:ascii="Times New Roman" w:hAnsi="Times New Roman"/>
          <w:sz w:val="22"/>
        </w:rPr>
        <w:t xml:space="preserve">Representative APIs: GET/POST/PATCH /api/v1/recruitment-requests, submit, assign, return-for-revision, request-changes, forward-to-admin and decision endpoints.</w:t>
      </w:r>
    </w:p>
    <w:p>
      <w:pPr>
        <w:spacing w:before="40" w:after="100" w:line="276" w:lineRule="auto"/>
      </w:pPr>
      <w:r>
        <w:rPr>
          <w:rFonts w:ascii="Times New Roman" w:hAnsi="Times New Roman"/>
          <w:sz w:val="22"/>
        </w:rPr>
        <w:t xml:space="preserve">Data-access rule: all mutations are validated and authorized before Prisma/queue operations. Queries are parameterized through Prisma or safe pgvector helpers; passwords, tokens and secrets are never embedded in SQL or returned in API payloads.</w:t>
      </w:r>
    </w:p>
    <w:p>
      <w:pPr>
        <w:keepNext/>
        <w:spacing w:before="240" w:after="120" w:line="276" w:lineRule="auto"/>
        <w:outlineLvl w:val="1"/>
      </w:pPr>
      <w:r>
        <w:rPr>
          <w:rFonts w:ascii="Times New Roman" w:hAnsi="Times New Roman"/>
          <w:sz w:val="28"/>
          <w:b/>
        </w:rPr>
        <w:t xml:space="preserve">4. Recruitment Planning, Tasks and Campaigns</w:t>
      </w:r>
    </w:p>
    <w:p>
      <w:pPr>
        <w:keepNext/>
        <w:spacing w:before="180" w:after="120" w:line="276" w:lineRule="auto"/>
        <w:outlineLvl w:val="2"/>
      </w:pPr>
      <w:r>
        <w:rPr>
          <w:rFonts w:ascii="Times New Roman" w:hAnsi="Times New Roman"/>
          <w:sz w:val="24"/>
          <w:b/>
        </w:rPr>
        <w:t xml:space="preserve">4.1 Overall Plan and Task Plan Workspace</w:t>
      </w:r>
    </w:p>
    <w:p>
      <w:pPr>
        <w:keepNext/>
        <w:spacing w:before="40" w:after="120" w:line="276" w:lineRule="auto"/>
        <w:outlineLvl w:val="3"/>
      </w:pPr>
      <w:r>
        <w:rPr>
          <w:rFonts w:ascii="Times New Roman" w:hAnsi="Times New Roman"/>
          <w:sz w:val="22"/>
          <w:b/>
        </w:rPr>
        <w:t xml:space="preserve">a. Screen / Function Description</w:t>
      </w:r>
    </w:p>
    <w:p>
      <w:pPr>
        <w:spacing w:before="40" w:after="100" w:line="276" w:lineRule="auto"/>
      </w:pPr>
      <w:r>
        <w:rPr>
          <w:rFonts w:ascii="Times New Roman" w:hAnsi="Times New Roman"/>
          <w:sz w:val="22"/>
        </w:rPr>
        <w:t xml:space="preserve">An approved recruitment request is converted into an OverallPlan. HR defines dates, activities and TaskPlans, submits the plan for Admin approval and starts the campaign only after approval. Task assignment, progress and deadline reminders provide operational control.</w:t>
      </w:r>
    </w:p>
    <w:p>
      <w:pPr>
        <w:spacing w:before="40" w:after="100" w:line="276" w:lineRule="auto"/>
      </w:pPr>
      <w:r>
        <w:rPr>
          <w:rFonts w:ascii="Times New Roman" w:hAnsi="Times New Roman"/>
          <w:sz w:val="22"/>
          <w:i/>
        </w:rPr>
        <w:t xml:space="preserve">Related use cases: UC-24 to UC-31</w:t>
      </w:r>
    </w:p>
    <w:p>
      <w:pPr>
        <w:keepNext/>
        <w:spacing w:before="40" w:after="120" w:line="276" w:lineRule="auto"/>
        <w:outlineLvl w:val="3"/>
      </w:pPr>
      <w:r>
        <w:rPr>
          <w:rFonts w:ascii="Times New Roman" w:hAnsi="Times New Roman"/>
          <w:sz w:val="22"/>
          <w:b/>
        </w:rPr>
        <w:t xml:space="preserve">UI Design and Components</w:t>
      </w:r>
    </w:p>
    <w:tbl>
      <w:tblPr>
        <w:tblW w:w="9360" w:type="dxa"/>
        <w:tblInd w:w="0" w:type="dxa"/>
        <w:tblLayout w:type="fixed"/>
        <w:tblBorders>
          <w:top w:val="single" w:sz="6" w:color="7F7F7F"/>
          <w:left w:val="single" w:sz="6" w:color="7F7F7F"/>
          <w:bottom w:val="single" w:sz="6" w:color="7F7F7F"/>
          <w:right w:val="single" w:sz="6" w:color="7F7F7F"/>
          <w:insideH w:val="single" w:sz="4" w:color="BFBFBF"/>
          <w:insideV w:val="single" w:sz="4" w:color="BFBFBF"/>
        </w:tblBorders>
      </w:tblPr>
      <w:tblGrid>
        <w:gridCol w:w="2100"/>
        <w:gridCol w:w="1800"/>
        <w:gridCol w:w="5460"/>
      </w:tblGrid>
      <w:tr>
        <w:trPr>
          <w:tblHeader/>
        </w:trPr>
        <w:tc>
          <w:tcPr>
            <w:tcW w:w="210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Field / Component</w:t>
            </w:r>
          </w:p>
        </w:tc>
        <w:tc>
          <w:tcPr>
            <w:tcW w:w="180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Field Type</w:t>
            </w:r>
          </w:p>
        </w:tc>
        <w:tc>
          <w:tcPr>
            <w:tcW w:w="546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Description</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Plan period</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Date range</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Start/end dates must be valid and cover child task dates.</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Plan status</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Status badge</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Draft, pending approval, approved/active, rejected or revision state.</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Task type</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Select</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Operational recruitment activity such as sourcing, screening or interview coordination.</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Assignee</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HR user select</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Active eligible recruiter responsible for the task.</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Deadline</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Date/time</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Used by worker reminder jobs and overdue tracking.</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Task status</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Status control</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PENDING, IN_PROGRESS or COMPLETED with guarded transitions.</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Revision note</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Textarea</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Required when Admin rejects or requests changes.</w:t>
            </w:r>
          </w:p>
        </w:tc>
      </w:tr>
    </w:tbl>
    <w:p>
      <w:pPr>
        <w:spacing w:before="40" w:after="100" w:line="276" w:lineRule="auto"/>
      </w:pPr>
      <w:r>
        <w:rPr>
          <w:rFonts w:ascii="Times New Roman" w:hAnsi="Times New Roman"/>
          <w:sz w:val="22"/>
        </w:rPr>
        <w:t xml:space="preserve"/>
      </w:r>
    </w:p>
    <w:p>
      <w:pPr>
        <w:keepNext/>
        <w:spacing w:before="40" w:after="120" w:line="276" w:lineRule="auto"/>
        <w:outlineLvl w:val="3"/>
      </w:pPr>
      <w:r>
        <w:rPr>
          <w:rFonts w:ascii="Times New Roman" w:hAnsi="Times New Roman"/>
          <w:sz w:val="22"/>
          <w:b/>
        </w:rPr>
        <w:t xml:space="preserve">Database Access</w:t>
      </w:r>
    </w:p>
    <w:tbl>
      <w:tblPr>
        <w:tblW w:w="9360" w:type="dxa"/>
        <w:tblInd w:w="0" w:type="dxa"/>
        <w:tblLayout w:type="fixed"/>
        <w:tblBorders>
          <w:top w:val="single" w:sz="6" w:color="7F7F7F"/>
          <w:left w:val="single" w:sz="6" w:color="7F7F7F"/>
          <w:bottom w:val="single" w:sz="6" w:color="7F7F7F"/>
          <w:right w:val="single" w:sz="6" w:color="7F7F7F"/>
          <w:insideH w:val="single" w:sz="4" w:color="BFBFBF"/>
          <w:insideV w:val="single" w:sz="4" w:color="BFBFBF"/>
        </w:tblBorders>
      </w:tblPr>
      <w:tblGrid>
        <w:gridCol w:w="2350"/>
        <w:gridCol w:w="900"/>
        <w:gridCol w:w="6110"/>
      </w:tblGrid>
      <w:tr>
        <w:trPr>
          <w:tblHeader/>
        </w:trPr>
        <w:tc>
          <w:tcPr>
            <w:tcW w:w="235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Table / Store</w:t>
            </w:r>
          </w:p>
        </w:tc>
        <w:tc>
          <w:tcPr>
            <w:tcW w:w="90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CRUD</w:t>
            </w:r>
          </w:p>
        </w:tc>
        <w:tc>
          <w:tcPr>
            <w:tcW w:w="611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Description</w:t>
            </w:r>
          </w:p>
        </w:tc>
      </w:tr>
      <w:tr>
        <w:tc>
          <w:tcPr>
            <w:tcW w:w="23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OverallPlan</w:t>
            </w:r>
          </w:p>
        </w:tc>
        <w:tc>
          <w:tcPr>
            <w:tcW w:w="9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C,R,U</w:t>
            </w:r>
          </w:p>
        </w:tc>
        <w:tc>
          <w:tcPr>
            <w:tcW w:w="611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Plan scope, dates, status, approval and campaign start data.</w:t>
            </w:r>
          </w:p>
        </w:tc>
      </w:tr>
      <w:tr>
        <w:tc>
          <w:tcPr>
            <w:tcW w:w="23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TaskPlan</w:t>
            </w:r>
          </w:p>
        </w:tc>
        <w:tc>
          <w:tcPr>
            <w:tcW w:w="9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C,R,U</w:t>
            </w:r>
          </w:p>
        </w:tc>
        <w:tc>
          <w:tcPr>
            <w:tcW w:w="611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Task type, assignee, deadline, status and notes.</w:t>
            </w:r>
          </w:p>
        </w:tc>
      </w:tr>
      <w:tr>
        <w:tc>
          <w:tcPr>
            <w:tcW w:w="23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TaskReminder</w:t>
            </w:r>
          </w:p>
        </w:tc>
        <w:tc>
          <w:tcPr>
            <w:tcW w:w="9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C,R,U</w:t>
            </w:r>
          </w:p>
        </w:tc>
        <w:tc>
          <w:tcPr>
            <w:tcW w:w="611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Deduplicated reminder schedule and delivery state.</w:t>
            </w:r>
          </w:p>
        </w:tc>
      </w:tr>
      <w:tr>
        <w:tc>
          <w:tcPr>
            <w:tcW w:w="23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Notification / EmailLog</w:t>
            </w:r>
          </w:p>
        </w:tc>
        <w:tc>
          <w:tcPr>
            <w:tcW w:w="9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C,R,U</w:t>
            </w:r>
          </w:p>
        </w:tc>
        <w:tc>
          <w:tcPr>
            <w:tcW w:w="611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Reminder messages and delivery records.</w:t>
            </w:r>
          </w:p>
        </w:tc>
      </w:tr>
    </w:tbl>
    <w:p>
      <w:pPr>
        <w:spacing w:before="40" w:after="100" w:line="276" w:lineRule="auto"/>
      </w:pPr>
      <w:r>
        <w:rPr>
          <w:rFonts w:ascii="Times New Roman" w:hAnsi="Times New Roman"/>
          <w:sz w:val="22"/>
        </w:rPr>
        <w:t xml:space="preserve"/>
      </w:r>
    </w:p>
    <w:p>
      <w:pPr>
        <w:keepNext/>
        <w:spacing w:before="40" w:after="120" w:line="276" w:lineRule="auto"/>
        <w:outlineLvl w:val="3"/>
      </w:pPr>
      <w:r>
        <w:rPr>
          <w:rFonts w:ascii="Times New Roman" w:hAnsi="Times New Roman"/>
          <w:sz w:val="22"/>
          <w:b/>
        </w:rPr>
        <w:t xml:space="preserve">API / Implementation Design</w:t>
      </w:r>
    </w:p>
    <w:p>
      <w:pPr>
        <w:spacing w:before="40" w:after="100" w:line="276" w:lineRule="auto"/>
      </w:pPr>
      <w:r>
        <w:rPr>
          <w:rFonts w:ascii="Times New Roman" w:hAnsi="Times New Roman"/>
          <w:sz w:val="22"/>
        </w:rPr>
        <w:t xml:space="preserve">Representative APIs: /api/v1/overall-plan, submit, approve, reject, resubmit, start-campaign; /api/v1/task-plan and task status/assignment endpoints.</w:t>
      </w:r>
    </w:p>
    <w:p>
      <w:pPr>
        <w:spacing w:before="40" w:after="100" w:line="276" w:lineRule="auto"/>
      </w:pPr>
      <w:r>
        <w:rPr>
          <w:rFonts w:ascii="Times New Roman" w:hAnsi="Times New Roman"/>
          <w:sz w:val="22"/>
        </w:rPr>
        <w:t xml:space="preserve">Data-access rule: all mutations are validated and authorized before Prisma/queue operations. Queries are parameterized through Prisma or safe pgvector helpers; passwords, tokens and secrets are never embedded in SQL or returned in API payloads.</w:t>
      </w:r>
    </w:p>
    <w:p>
      <w:pPr>
        <w:keepNext/>
        <w:spacing w:before="240" w:after="120" w:line="276" w:lineRule="auto"/>
        <w:outlineLvl w:val="1"/>
      </w:pPr>
      <w:r>
        <w:rPr>
          <w:rFonts w:ascii="Times New Roman" w:hAnsi="Times New Roman"/>
          <w:sz w:val="28"/>
          <w:b/>
        </w:rPr>
        <w:t xml:space="preserve">5. Candidate, CV, Applications and Talent Search</w:t>
      </w:r>
    </w:p>
    <w:p>
      <w:pPr>
        <w:keepNext/>
        <w:spacing w:before="180" w:after="120" w:line="276" w:lineRule="auto"/>
        <w:outlineLvl w:val="2"/>
      </w:pPr>
      <w:r>
        <w:rPr>
          <w:rFonts w:ascii="Times New Roman" w:hAnsi="Times New Roman"/>
          <w:sz w:val="24"/>
          <w:b/>
        </w:rPr>
        <w:t xml:space="preserve">5.1 Candidate Profile, CV Processing and Hybrid Search</w:t>
      </w:r>
    </w:p>
    <w:p>
      <w:pPr>
        <w:keepNext/>
        <w:spacing w:before="40" w:after="120" w:line="276" w:lineRule="auto"/>
        <w:outlineLvl w:val="3"/>
      </w:pPr>
      <w:r>
        <w:rPr>
          <w:rFonts w:ascii="Times New Roman" w:hAnsi="Times New Roman"/>
          <w:sz w:val="22"/>
          <w:b/>
        </w:rPr>
        <w:t xml:space="preserve">a. Screen / Function Description</w:t>
      </w:r>
    </w:p>
    <w:p>
      <w:pPr>
        <w:spacing w:before="40" w:after="100" w:line="276" w:lineRule="auto"/>
      </w:pPr>
      <w:r>
        <w:rPr>
          <w:rFonts w:ascii="Times New Roman" w:hAnsi="Times New Roman"/>
          <w:sz w:val="22"/>
        </w:rPr>
        <w:t xml:space="preserve">Candidates maintain profiles, upload CVs and apply to published jobs. CV files are stored with metadata, parsed asynchronously and converted into 384-dimensional embeddings. HR searches the Talent Pool using semantic similarity combined with graph/coverage signals and can submit search feedback.</w:t>
      </w:r>
    </w:p>
    <w:p>
      <w:pPr>
        <w:spacing w:before="40" w:after="100" w:line="276" w:lineRule="auto"/>
      </w:pPr>
      <w:r>
        <w:rPr>
          <w:rFonts w:ascii="Times New Roman" w:hAnsi="Times New Roman"/>
          <w:sz w:val="22"/>
          <w:i/>
        </w:rPr>
        <w:t xml:space="preserve">Related use cases: UC-32 to UC-42</w:t>
      </w:r>
    </w:p>
    <w:p>
      <w:pPr>
        <w:keepNext/>
        <w:spacing w:before="40" w:after="120" w:line="276" w:lineRule="auto"/>
        <w:outlineLvl w:val="3"/>
      </w:pPr>
      <w:r>
        <w:rPr>
          <w:rFonts w:ascii="Times New Roman" w:hAnsi="Times New Roman"/>
          <w:sz w:val="22"/>
          <w:b/>
        </w:rPr>
        <w:t xml:space="preserve">UI Design and Components</w:t>
      </w:r>
    </w:p>
    <w:tbl>
      <w:tblPr>
        <w:tblW w:w="9360" w:type="dxa"/>
        <w:tblInd w:w="0" w:type="dxa"/>
        <w:tblLayout w:type="fixed"/>
        <w:tblBorders>
          <w:top w:val="single" w:sz="6" w:color="7F7F7F"/>
          <w:left w:val="single" w:sz="6" w:color="7F7F7F"/>
          <w:bottom w:val="single" w:sz="6" w:color="7F7F7F"/>
          <w:right w:val="single" w:sz="6" w:color="7F7F7F"/>
          <w:insideH w:val="single" w:sz="4" w:color="BFBFBF"/>
          <w:insideV w:val="single" w:sz="4" w:color="BFBFBF"/>
        </w:tblBorders>
      </w:tblPr>
      <w:tblGrid>
        <w:gridCol w:w="2100"/>
        <w:gridCol w:w="1800"/>
        <w:gridCol w:w="5460"/>
      </w:tblGrid>
      <w:tr>
        <w:trPr>
          <w:tblHeader/>
        </w:trPr>
        <w:tc>
          <w:tcPr>
            <w:tcW w:w="210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Field / Component</w:t>
            </w:r>
          </w:p>
        </w:tc>
        <w:tc>
          <w:tcPr>
            <w:tcW w:w="180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Field Type</w:t>
            </w:r>
          </w:p>
        </w:tc>
        <w:tc>
          <w:tcPr>
            <w:tcW w:w="546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Description</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Profile fields</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Form controls</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Name, contact, skills, experience, education and availability.</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CV file</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File upload</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PDF/DOC/DOCX with type/size validation and processing state.</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Job posting</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Card/detail</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Published role, requirements, status and apply action.</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Search query</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Text input</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Free-text requirements expanded before embedding/search.</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Filters</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Selects</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Department, skills, experience, location and availability.</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Ranked result</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Result card/table</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Candidate, similarity, supporting skill/coverage evidence and latest CV.</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Feedback</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Relevant/not relevant action</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Stores search quality signal and training triplets.</w:t>
            </w:r>
          </w:p>
        </w:tc>
      </w:tr>
    </w:tbl>
    <w:p>
      <w:pPr>
        <w:spacing w:before="40" w:after="100" w:line="276" w:lineRule="auto"/>
      </w:pPr>
      <w:r>
        <w:rPr>
          <w:rFonts w:ascii="Times New Roman" w:hAnsi="Times New Roman"/>
          <w:sz w:val="22"/>
        </w:rPr>
        <w:t xml:space="preserve"/>
      </w:r>
    </w:p>
    <w:p>
      <w:pPr>
        <w:keepNext/>
        <w:spacing w:before="40" w:after="120" w:line="276" w:lineRule="auto"/>
        <w:outlineLvl w:val="3"/>
      </w:pPr>
      <w:r>
        <w:rPr>
          <w:rFonts w:ascii="Times New Roman" w:hAnsi="Times New Roman"/>
          <w:sz w:val="22"/>
          <w:b/>
        </w:rPr>
        <w:t xml:space="preserve">Database Access</w:t>
      </w:r>
    </w:p>
    <w:tbl>
      <w:tblPr>
        <w:tblW w:w="9360" w:type="dxa"/>
        <w:tblInd w:w="0" w:type="dxa"/>
        <w:tblLayout w:type="fixed"/>
        <w:tblBorders>
          <w:top w:val="single" w:sz="6" w:color="7F7F7F"/>
          <w:left w:val="single" w:sz="6" w:color="7F7F7F"/>
          <w:bottom w:val="single" w:sz="6" w:color="7F7F7F"/>
          <w:right w:val="single" w:sz="6" w:color="7F7F7F"/>
          <w:insideH w:val="single" w:sz="4" w:color="BFBFBF"/>
          <w:insideV w:val="single" w:sz="4" w:color="BFBFBF"/>
        </w:tblBorders>
      </w:tblPr>
      <w:tblGrid>
        <w:gridCol w:w="2350"/>
        <w:gridCol w:w="900"/>
        <w:gridCol w:w="6110"/>
      </w:tblGrid>
      <w:tr>
        <w:trPr>
          <w:tblHeader/>
        </w:trPr>
        <w:tc>
          <w:tcPr>
            <w:tcW w:w="235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Table / Store</w:t>
            </w:r>
          </w:p>
        </w:tc>
        <w:tc>
          <w:tcPr>
            <w:tcW w:w="90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CRUD</w:t>
            </w:r>
          </w:p>
        </w:tc>
        <w:tc>
          <w:tcPr>
            <w:tcW w:w="611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Description</w:t>
            </w:r>
          </w:p>
        </w:tc>
      </w:tr>
      <w:tr>
        <w:tc>
          <w:tcPr>
            <w:tcW w:w="23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CandidateProfile</w:t>
            </w:r>
          </w:p>
        </w:tc>
        <w:tc>
          <w:tcPr>
            <w:tcW w:w="9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C,R,U</w:t>
            </w:r>
          </w:p>
        </w:tc>
        <w:tc>
          <w:tcPr>
            <w:tcW w:w="611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Candidate identity-linked profile and structured attributes.</w:t>
            </w:r>
          </w:p>
        </w:tc>
      </w:tr>
      <w:tr>
        <w:tc>
          <w:tcPr>
            <w:tcW w:w="23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CandidateCV</w:t>
            </w:r>
          </w:p>
        </w:tc>
        <w:tc>
          <w:tcPr>
            <w:tcW w:w="9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C,R,U,D</w:t>
            </w:r>
          </w:p>
        </w:tc>
        <w:tc>
          <w:tcPr>
            <w:tcW w:w="611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File metadata, raw/parsed content and processing status.</w:t>
            </w:r>
          </w:p>
        </w:tc>
      </w:tr>
      <w:tr>
        <w:tc>
          <w:tcPr>
            <w:tcW w:w="23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CvEmbedding</w:t>
            </w:r>
          </w:p>
        </w:tc>
        <w:tc>
          <w:tcPr>
            <w:tcW w:w="9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C,R,U,D</w:t>
            </w:r>
          </w:p>
        </w:tc>
        <w:tc>
          <w:tcPr>
            <w:tcW w:w="611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384-dimensional pgvector representation linked to CV.</w:t>
            </w:r>
          </w:p>
        </w:tc>
      </w:tr>
      <w:tr>
        <w:tc>
          <w:tcPr>
            <w:tcW w:w="23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JobPosting</w:t>
            </w:r>
          </w:p>
        </w:tc>
        <w:tc>
          <w:tcPr>
            <w:tcW w:w="9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C,R,U</w:t>
            </w:r>
          </w:p>
        </w:tc>
        <w:tc>
          <w:tcPr>
            <w:tcW w:w="611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Recruitment advertising lifecycle and media.</w:t>
            </w:r>
          </w:p>
        </w:tc>
      </w:tr>
      <w:tr>
        <w:tc>
          <w:tcPr>
            <w:tcW w:w="23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Application</w:t>
            </w:r>
          </w:p>
        </w:tc>
        <w:tc>
          <w:tcPr>
            <w:tcW w:w="9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C,R,U</w:t>
            </w:r>
          </w:p>
        </w:tc>
        <w:tc>
          <w:tcPr>
            <w:tcW w:w="611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Candidate application and screening status.</w:t>
            </w:r>
          </w:p>
        </w:tc>
      </w:tr>
      <w:tr>
        <w:tc>
          <w:tcPr>
            <w:tcW w:w="23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TalentSearchRun / TalentSearchFeedback</w:t>
            </w:r>
          </w:p>
        </w:tc>
        <w:tc>
          <w:tcPr>
            <w:tcW w:w="9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C,R</w:t>
            </w:r>
          </w:p>
        </w:tc>
        <w:tc>
          <w:tcPr>
            <w:tcW w:w="611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Search trace, ranking evidence and feedback.</w:t>
            </w:r>
          </w:p>
        </w:tc>
      </w:tr>
    </w:tbl>
    <w:p>
      <w:pPr>
        <w:spacing w:before="40" w:after="100" w:line="276" w:lineRule="auto"/>
      </w:pPr>
      <w:r>
        <w:rPr>
          <w:rFonts w:ascii="Times New Roman" w:hAnsi="Times New Roman"/>
          <w:sz w:val="22"/>
        </w:rPr>
        <w:t xml:space="preserve"/>
      </w:r>
    </w:p>
    <w:p>
      <w:pPr>
        <w:keepNext/>
        <w:spacing w:before="40" w:after="120" w:line="276" w:lineRule="auto"/>
        <w:outlineLvl w:val="3"/>
      </w:pPr>
      <w:r>
        <w:rPr>
          <w:rFonts w:ascii="Times New Roman" w:hAnsi="Times New Roman"/>
          <w:sz w:val="22"/>
          <w:b/>
        </w:rPr>
        <w:t xml:space="preserve">API / Implementation Design</w:t>
      </w:r>
    </w:p>
    <w:p>
      <w:pPr>
        <w:spacing w:before="40" w:after="100" w:line="276" w:lineRule="auto"/>
      </w:pPr>
      <w:r>
        <w:rPr>
          <w:rFonts w:ascii="Times New Roman" w:hAnsi="Times New Roman"/>
          <w:sz w:val="22"/>
        </w:rPr>
        <w:t xml:space="preserve">Upload writes CV metadata first; BullMQ workers parse and embed asynchronously. Search uses packages/ai plus pgvector. Representative APIs: /api/v1/cv, /candidate-profiles, /applications, /job-postings, /cv/search, /talent/search and /talent/feedback.</w:t>
      </w:r>
    </w:p>
    <w:p>
      <w:pPr>
        <w:spacing w:before="40" w:after="100" w:line="276" w:lineRule="auto"/>
      </w:pPr>
      <w:r>
        <w:rPr>
          <w:rFonts w:ascii="Times New Roman" w:hAnsi="Times New Roman"/>
          <w:sz w:val="22"/>
        </w:rPr>
        <w:t xml:space="preserve">Data-access rule: all mutations are validated and authorized before Prisma/queue operations. Queries are parameterized through Prisma or safe pgvector helpers; passwords, tokens and secrets are never embedded in SQL or returned in API payloads.</w:t>
      </w:r>
    </w:p>
    <w:p>
      <w:pPr>
        <w:keepNext/>
        <w:spacing w:before="240" w:after="120" w:line="276" w:lineRule="auto"/>
        <w:outlineLvl w:val="1"/>
      </w:pPr>
      <w:r>
        <w:rPr>
          <w:rFonts w:ascii="Times New Roman" w:hAnsi="Times New Roman"/>
          <w:sz w:val="28"/>
          <w:b/>
        </w:rPr>
        <w:t xml:space="preserve">6. Interview Scheduling, Calendar and Evaluation</w:t>
      </w:r>
    </w:p>
    <w:p>
      <w:pPr>
        <w:keepNext/>
        <w:spacing w:before="180" w:after="120" w:line="276" w:lineRule="auto"/>
        <w:outlineLvl w:val="2"/>
      </w:pPr>
      <w:r>
        <w:rPr>
          <w:rFonts w:ascii="Times New Roman" w:hAnsi="Times New Roman"/>
          <w:sz w:val="24"/>
          <w:b/>
        </w:rPr>
        <w:t xml:space="preserve">6.1 Online/Offline Interview Coordination and Results</w:t>
      </w:r>
    </w:p>
    <w:p>
      <w:pPr>
        <w:keepNext/>
        <w:spacing w:before="40" w:after="120" w:line="276" w:lineRule="auto"/>
        <w:outlineLvl w:val="3"/>
      </w:pPr>
      <w:r>
        <w:rPr>
          <w:rFonts w:ascii="Times New Roman" w:hAnsi="Times New Roman"/>
          <w:sz w:val="22"/>
          <w:b/>
        </w:rPr>
        <w:t xml:space="preserve">a. Screen / Function Description</w:t>
      </w:r>
    </w:p>
    <w:p>
      <w:pPr>
        <w:spacing w:before="40" w:after="100" w:line="276" w:lineRule="auto"/>
      </w:pPr>
      <w:r>
        <w:rPr>
          <w:rFonts w:ascii="Times New Roman" w:hAnsi="Times New Roman"/>
          <w:sz w:val="22"/>
        </w:rPr>
        <w:t xml:space="preserve">HR schedules interviews for candidates under an approved plan, selects at least two active internal panel members, chooses online or offline mode, sends invitations and manages reschedule/cancel/confirmation. Online mode may create Google Meet; offline mode records venue and supporting evidence. Panel feedback and final recommendation are stored separately for Admin review.</w:t>
      </w:r>
    </w:p>
    <w:p>
      <w:pPr>
        <w:spacing w:before="40" w:after="100" w:line="276" w:lineRule="auto"/>
      </w:pPr>
      <w:r>
        <w:rPr>
          <w:rFonts w:ascii="Times New Roman" w:hAnsi="Times New Roman"/>
          <w:sz w:val="22"/>
          <w:i/>
        </w:rPr>
        <w:t xml:space="preserve">Related use cases: UC-43 to UC-53</w:t>
      </w:r>
    </w:p>
    <w:p>
      <w:pPr>
        <w:keepNext/>
        <w:spacing w:before="40" w:after="120" w:line="276" w:lineRule="auto"/>
        <w:outlineLvl w:val="3"/>
      </w:pPr>
      <w:r>
        <w:rPr>
          <w:rFonts w:ascii="Times New Roman" w:hAnsi="Times New Roman"/>
          <w:sz w:val="22"/>
          <w:b/>
        </w:rPr>
        <w:t xml:space="preserve">UI Design and Components</w:t>
      </w:r>
    </w:p>
    <w:tbl>
      <w:tblPr>
        <w:tblW w:w="9360" w:type="dxa"/>
        <w:tblInd w:w="0" w:type="dxa"/>
        <w:tblLayout w:type="fixed"/>
        <w:tblBorders>
          <w:top w:val="single" w:sz="6" w:color="7F7F7F"/>
          <w:left w:val="single" w:sz="6" w:color="7F7F7F"/>
          <w:bottom w:val="single" w:sz="6" w:color="7F7F7F"/>
          <w:right w:val="single" w:sz="6" w:color="7F7F7F"/>
          <w:insideH w:val="single" w:sz="4" w:color="BFBFBF"/>
          <w:insideV w:val="single" w:sz="4" w:color="BFBFBF"/>
        </w:tblBorders>
      </w:tblPr>
      <w:tblGrid>
        <w:gridCol w:w="2100"/>
        <w:gridCol w:w="1800"/>
        <w:gridCol w:w="5460"/>
      </w:tblGrid>
      <w:tr>
        <w:trPr>
          <w:tblHeader/>
        </w:trPr>
        <w:tc>
          <w:tcPr>
            <w:tcW w:w="210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Field / Component</w:t>
            </w:r>
          </w:p>
        </w:tc>
        <w:tc>
          <w:tcPr>
            <w:tcW w:w="180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Field Type</w:t>
            </w:r>
          </w:p>
        </w:tc>
        <w:tc>
          <w:tcPr>
            <w:tcW w:w="546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Description</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Candidate / request</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Search/select</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Selects an eligible application and recruitment request.</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Interview mode</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Radio/select</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ONLINE or OFFLINE; controls link versus venue/evidence requirements.</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Date and time</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Date/time picker</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Must be future-valid and checked for panel conflicts.</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Panel</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Multi-select</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At least two distinct active internal interviewers.</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Meeting link / venue</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Text</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Meet URL for online mode or physical location for offline mode.</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Offline evidence</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Upload/reference</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Proof available to Admin during result review.</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Scores</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Numeric controls</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Technical, communication and culture scores.</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Decision and notes</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Select/textarea</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Individual decision, evaluator notes, summary and final recommendation.</w:t>
            </w:r>
          </w:p>
        </w:tc>
      </w:tr>
    </w:tbl>
    <w:p>
      <w:pPr>
        <w:spacing w:before="40" w:after="100" w:line="276" w:lineRule="auto"/>
      </w:pPr>
      <w:r>
        <w:rPr>
          <w:rFonts w:ascii="Times New Roman" w:hAnsi="Times New Roman"/>
          <w:sz w:val="22"/>
        </w:rPr>
        <w:t xml:space="preserve"/>
      </w:r>
    </w:p>
    <w:p>
      <w:pPr>
        <w:keepNext/>
        <w:spacing w:before="40" w:after="120" w:line="276" w:lineRule="auto"/>
        <w:outlineLvl w:val="3"/>
      </w:pPr>
      <w:r>
        <w:rPr>
          <w:rFonts w:ascii="Times New Roman" w:hAnsi="Times New Roman"/>
          <w:sz w:val="22"/>
          <w:b/>
        </w:rPr>
        <w:t xml:space="preserve">Database Access</w:t>
      </w:r>
    </w:p>
    <w:tbl>
      <w:tblPr>
        <w:tblW w:w="9360" w:type="dxa"/>
        <w:tblInd w:w="0" w:type="dxa"/>
        <w:tblLayout w:type="fixed"/>
        <w:tblBorders>
          <w:top w:val="single" w:sz="6" w:color="7F7F7F"/>
          <w:left w:val="single" w:sz="6" w:color="7F7F7F"/>
          <w:bottom w:val="single" w:sz="6" w:color="7F7F7F"/>
          <w:right w:val="single" w:sz="6" w:color="7F7F7F"/>
          <w:insideH w:val="single" w:sz="4" w:color="BFBFBF"/>
          <w:insideV w:val="single" w:sz="4" w:color="BFBFBF"/>
        </w:tblBorders>
      </w:tblPr>
      <w:tblGrid>
        <w:gridCol w:w="2350"/>
        <w:gridCol w:w="900"/>
        <w:gridCol w:w="6110"/>
      </w:tblGrid>
      <w:tr>
        <w:trPr>
          <w:tblHeader/>
        </w:trPr>
        <w:tc>
          <w:tcPr>
            <w:tcW w:w="235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Table / Store</w:t>
            </w:r>
          </w:p>
        </w:tc>
        <w:tc>
          <w:tcPr>
            <w:tcW w:w="90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CRUD</w:t>
            </w:r>
          </w:p>
        </w:tc>
        <w:tc>
          <w:tcPr>
            <w:tcW w:w="611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Description</w:t>
            </w:r>
          </w:p>
        </w:tc>
      </w:tr>
      <w:tr>
        <w:tc>
          <w:tcPr>
            <w:tcW w:w="23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InterviewSchedule</w:t>
            </w:r>
          </w:p>
        </w:tc>
        <w:tc>
          <w:tcPr>
            <w:tcW w:w="9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C,R,U</w:t>
            </w:r>
          </w:p>
        </w:tc>
        <w:tc>
          <w:tcPr>
            <w:tcW w:w="611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Time, mode, location/link, panel, status and calendar reference.</w:t>
            </w:r>
          </w:p>
        </w:tc>
      </w:tr>
      <w:tr>
        <w:tc>
          <w:tcPr>
            <w:tcW w:w="23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InterviewResult</w:t>
            </w:r>
          </w:p>
        </w:tc>
        <w:tc>
          <w:tcPr>
            <w:tcW w:w="9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C,R,U</w:t>
            </w:r>
          </w:p>
        </w:tc>
        <w:tc>
          <w:tcPr>
            <w:tcW w:w="611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Per-evaluator feedback, scores, decision and final recommendation.</w:t>
            </w:r>
          </w:p>
        </w:tc>
      </w:tr>
      <w:tr>
        <w:tc>
          <w:tcPr>
            <w:tcW w:w="23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EmailLog</w:t>
            </w:r>
          </w:p>
        </w:tc>
        <w:tc>
          <w:tcPr>
            <w:tcW w:w="9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C,R</w:t>
            </w:r>
          </w:p>
        </w:tc>
        <w:tc>
          <w:tcPr>
            <w:tcW w:w="611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Invitation/reminder delivery history.</w:t>
            </w:r>
          </w:p>
        </w:tc>
      </w:tr>
      <w:tr>
        <w:tc>
          <w:tcPr>
            <w:tcW w:w="23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Notification</w:t>
            </w:r>
          </w:p>
        </w:tc>
        <w:tc>
          <w:tcPr>
            <w:tcW w:w="9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C,R,U</w:t>
            </w:r>
          </w:p>
        </w:tc>
        <w:tc>
          <w:tcPr>
            <w:tcW w:w="611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Candidate and panel in-app updates.</w:t>
            </w:r>
          </w:p>
        </w:tc>
      </w:tr>
      <w:tr>
        <w:tc>
          <w:tcPr>
            <w:tcW w:w="23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User</w:t>
            </w:r>
          </w:p>
        </w:tc>
        <w:tc>
          <w:tcPr>
            <w:tcW w:w="9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R,U</w:t>
            </w:r>
          </w:p>
        </w:tc>
        <w:tc>
          <w:tcPr>
            <w:tcW w:w="611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Panel eligibility and Google Calendar refresh token.</w:t>
            </w:r>
          </w:p>
        </w:tc>
      </w:tr>
    </w:tbl>
    <w:p>
      <w:pPr>
        <w:spacing w:before="40" w:after="100" w:line="276" w:lineRule="auto"/>
      </w:pPr>
      <w:r>
        <w:rPr>
          <w:rFonts w:ascii="Times New Roman" w:hAnsi="Times New Roman"/>
          <w:sz w:val="22"/>
        </w:rPr>
        <w:t xml:space="preserve"/>
      </w:r>
    </w:p>
    <w:p>
      <w:pPr>
        <w:keepNext/>
        <w:spacing w:before="40" w:after="120" w:line="276" w:lineRule="auto"/>
        <w:outlineLvl w:val="3"/>
      </w:pPr>
      <w:r>
        <w:rPr>
          <w:rFonts w:ascii="Times New Roman" w:hAnsi="Times New Roman"/>
          <w:sz w:val="22"/>
          <w:b/>
        </w:rPr>
        <w:t xml:space="preserve">API / Implementation Design</w:t>
      </w:r>
    </w:p>
    <w:p>
      <w:pPr>
        <w:spacing w:before="40" w:after="100" w:line="276" w:lineRule="auto"/>
      </w:pPr>
      <w:r>
        <w:rPr>
          <w:rFonts w:ascii="Times New Roman" w:hAnsi="Times New Roman"/>
          <w:sz w:val="22"/>
        </w:rPr>
        <w:t xml:space="preserve">Google Meet creation uses conferenceDataVersion=1. Invitations use sendUpdates=all. Representative APIs: /api/v1/interviews/schedules, reschedule, cancel, confirm, invitations, details, my-feedback, results, HR interview results and Admin interview results.</w:t>
      </w:r>
    </w:p>
    <w:p>
      <w:pPr>
        <w:spacing w:before="40" w:after="100" w:line="276" w:lineRule="auto"/>
      </w:pPr>
      <w:r>
        <w:rPr>
          <w:rFonts w:ascii="Times New Roman" w:hAnsi="Times New Roman"/>
          <w:sz w:val="22"/>
        </w:rPr>
        <w:t xml:space="preserve">Data-access rule: all mutations are validated and authorized before Prisma/queue operations. Queries are parameterized through Prisma or safe pgvector helpers; passwords, tokens and secrets are never embedded in SQL or returned in API payloads.</w:t>
      </w:r>
    </w:p>
    <w:p>
      <w:pPr>
        <w:keepNext/>
        <w:spacing w:before="240" w:after="120" w:line="276" w:lineRule="auto"/>
        <w:outlineLvl w:val="1"/>
      </w:pPr>
      <w:r>
        <w:rPr>
          <w:rFonts w:ascii="Times New Roman" w:hAnsi="Times New Roman"/>
          <w:sz w:val="28"/>
          <w:b/>
        </w:rPr>
        <w:t xml:space="preserve">7. Hiring Decision, Offers and Notifications</w:t>
      </w:r>
    </w:p>
    <w:p>
      <w:pPr>
        <w:keepNext/>
        <w:spacing w:before="180" w:after="120" w:line="276" w:lineRule="auto"/>
        <w:outlineLvl w:val="2"/>
      </w:pPr>
      <w:r>
        <w:rPr>
          <w:rFonts w:ascii="Times New Roman" w:hAnsi="Times New Roman"/>
          <w:sz w:val="24"/>
          <w:b/>
        </w:rPr>
        <w:t xml:space="preserve">7.1 Decision-to-Offer and Candidate Response</w:t>
      </w:r>
    </w:p>
    <w:p>
      <w:pPr>
        <w:keepNext/>
        <w:spacing w:before="40" w:after="120" w:line="276" w:lineRule="auto"/>
        <w:outlineLvl w:val="3"/>
      </w:pPr>
      <w:r>
        <w:rPr>
          <w:rFonts w:ascii="Times New Roman" w:hAnsi="Times New Roman"/>
          <w:sz w:val="22"/>
          <w:b/>
        </w:rPr>
        <w:t xml:space="preserve">a. Screen / Function Description</w:t>
      </w:r>
    </w:p>
    <w:p>
      <w:pPr>
        <w:spacing w:before="40" w:after="100" w:line="276" w:lineRule="auto"/>
      </w:pPr>
      <w:r>
        <w:rPr>
          <w:rFonts w:ascii="Times New Roman" w:hAnsi="Times New Roman"/>
          <w:sz w:val="22"/>
        </w:rPr>
        <w:t xml:space="preserve">Admin reviews interview results and chooses HIRE, REJECT or requests more information. A HIRE decision requires compensation and start date and creates an offer transactionally. HR reviews/sends the offer; the owning candidate accepts or declines. Notifications and EmailLog records preserve communication history.</w:t>
      </w:r>
    </w:p>
    <w:p>
      <w:pPr>
        <w:spacing w:before="40" w:after="100" w:line="276" w:lineRule="auto"/>
      </w:pPr>
      <w:r>
        <w:rPr>
          <w:rFonts w:ascii="Times New Roman" w:hAnsi="Times New Roman"/>
          <w:sz w:val="22"/>
          <w:i/>
        </w:rPr>
        <w:t xml:space="preserve">Related use cases: UC-54 to UC-57</w:t>
      </w:r>
    </w:p>
    <w:p>
      <w:pPr>
        <w:keepNext/>
        <w:spacing w:before="40" w:after="120" w:line="276" w:lineRule="auto"/>
        <w:outlineLvl w:val="3"/>
      </w:pPr>
      <w:r>
        <w:rPr>
          <w:rFonts w:ascii="Times New Roman" w:hAnsi="Times New Roman"/>
          <w:sz w:val="22"/>
          <w:b/>
        </w:rPr>
        <w:t xml:space="preserve">UI Design and Components</w:t>
      </w:r>
    </w:p>
    <w:tbl>
      <w:tblPr>
        <w:tblW w:w="9360" w:type="dxa"/>
        <w:tblInd w:w="0" w:type="dxa"/>
        <w:tblLayout w:type="fixed"/>
        <w:tblBorders>
          <w:top w:val="single" w:sz="6" w:color="7F7F7F"/>
          <w:left w:val="single" w:sz="6" w:color="7F7F7F"/>
          <w:bottom w:val="single" w:sz="6" w:color="7F7F7F"/>
          <w:right w:val="single" w:sz="6" w:color="7F7F7F"/>
          <w:insideH w:val="single" w:sz="4" w:color="BFBFBF"/>
          <w:insideV w:val="single" w:sz="4" w:color="BFBFBF"/>
        </w:tblBorders>
      </w:tblPr>
      <w:tblGrid>
        <w:gridCol w:w="2100"/>
        <w:gridCol w:w="1800"/>
        <w:gridCol w:w="5460"/>
      </w:tblGrid>
      <w:tr>
        <w:trPr>
          <w:tblHeader/>
        </w:trPr>
        <w:tc>
          <w:tcPr>
            <w:tcW w:w="210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Field / Component</w:t>
            </w:r>
          </w:p>
        </w:tc>
        <w:tc>
          <w:tcPr>
            <w:tcW w:w="180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Field Type</w:t>
            </w:r>
          </w:p>
        </w:tc>
        <w:tc>
          <w:tcPr>
            <w:tcW w:w="546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Description</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Decision</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Select/action</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HIRE, REJECT or REQUEST_INFO according to permitted workflow state.</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Compensation</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Currency/number</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Required for HIRE and validated as a positive amount.</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Start date</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Date</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Required for HIRE and must satisfy business constraints.</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Reason / request note</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Textarea</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Required for reject or request-more-information paths.</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Offer preview</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Read-only document view</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Candidate, role, compensation, start date and terms.</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Candidate response</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Accept/Decline action</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Ownership-scoped response with optional note.</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Notification center</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List/actions</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Read, unread, delete and mark-all-read operations with SSE updates.</w:t>
            </w:r>
          </w:p>
        </w:tc>
      </w:tr>
    </w:tbl>
    <w:p>
      <w:pPr>
        <w:spacing w:before="40" w:after="100" w:line="276" w:lineRule="auto"/>
      </w:pPr>
      <w:r>
        <w:rPr>
          <w:rFonts w:ascii="Times New Roman" w:hAnsi="Times New Roman"/>
          <w:sz w:val="22"/>
        </w:rPr>
        <w:t xml:space="preserve"/>
      </w:r>
    </w:p>
    <w:p>
      <w:pPr>
        <w:keepNext/>
        <w:spacing w:before="40" w:after="120" w:line="276" w:lineRule="auto"/>
        <w:outlineLvl w:val="3"/>
      </w:pPr>
      <w:r>
        <w:rPr>
          <w:rFonts w:ascii="Times New Roman" w:hAnsi="Times New Roman"/>
          <w:sz w:val="22"/>
          <w:b/>
        </w:rPr>
        <w:t xml:space="preserve">Database Access</w:t>
      </w:r>
    </w:p>
    <w:tbl>
      <w:tblPr>
        <w:tblW w:w="9360" w:type="dxa"/>
        <w:tblInd w:w="0" w:type="dxa"/>
        <w:tblLayout w:type="fixed"/>
        <w:tblBorders>
          <w:top w:val="single" w:sz="6" w:color="7F7F7F"/>
          <w:left w:val="single" w:sz="6" w:color="7F7F7F"/>
          <w:bottom w:val="single" w:sz="6" w:color="7F7F7F"/>
          <w:right w:val="single" w:sz="6" w:color="7F7F7F"/>
          <w:insideH w:val="single" w:sz="4" w:color="BFBFBF"/>
          <w:insideV w:val="single" w:sz="4" w:color="BFBFBF"/>
        </w:tblBorders>
      </w:tblPr>
      <w:tblGrid>
        <w:gridCol w:w="2350"/>
        <w:gridCol w:w="900"/>
        <w:gridCol w:w="6110"/>
      </w:tblGrid>
      <w:tr>
        <w:trPr>
          <w:tblHeader/>
        </w:trPr>
        <w:tc>
          <w:tcPr>
            <w:tcW w:w="235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Table / Store</w:t>
            </w:r>
          </w:p>
        </w:tc>
        <w:tc>
          <w:tcPr>
            <w:tcW w:w="90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CRUD</w:t>
            </w:r>
          </w:p>
        </w:tc>
        <w:tc>
          <w:tcPr>
            <w:tcW w:w="611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Description</w:t>
            </w:r>
          </w:p>
        </w:tc>
      </w:tr>
      <w:tr>
        <w:tc>
          <w:tcPr>
            <w:tcW w:w="23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OfferLetter</w:t>
            </w:r>
          </w:p>
        </w:tc>
        <w:tc>
          <w:tcPr>
            <w:tcW w:w="9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C,R,U</w:t>
            </w:r>
          </w:p>
        </w:tc>
        <w:tc>
          <w:tcPr>
            <w:tcW w:w="611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Offer content, send state, response, note and timestamps.</w:t>
            </w:r>
          </w:p>
        </w:tc>
      </w:tr>
      <w:tr>
        <w:tc>
          <w:tcPr>
            <w:tcW w:w="23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RecruitmentRequest / Application</w:t>
            </w:r>
          </w:p>
        </w:tc>
        <w:tc>
          <w:tcPr>
            <w:tcW w:w="9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R,U</w:t>
            </w:r>
          </w:p>
        </w:tc>
        <w:tc>
          <w:tcPr>
            <w:tcW w:w="611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Updates final workflow and candidate outcome.</w:t>
            </w:r>
          </w:p>
        </w:tc>
      </w:tr>
      <w:tr>
        <w:tc>
          <w:tcPr>
            <w:tcW w:w="23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Notification</w:t>
            </w:r>
          </w:p>
        </w:tc>
        <w:tc>
          <w:tcPr>
            <w:tcW w:w="9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C,R,U,D</w:t>
            </w:r>
          </w:p>
        </w:tc>
        <w:tc>
          <w:tcPr>
            <w:tcW w:w="611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User-scoped in-app messages and read state.</w:t>
            </w:r>
          </w:p>
        </w:tc>
      </w:tr>
      <w:tr>
        <w:tc>
          <w:tcPr>
            <w:tcW w:w="23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EmailLog</w:t>
            </w:r>
          </w:p>
        </w:tc>
        <w:tc>
          <w:tcPr>
            <w:tcW w:w="9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C,R</w:t>
            </w:r>
          </w:p>
        </w:tc>
        <w:tc>
          <w:tcPr>
            <w:tcW w:w="611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Outbound email template, status, error and related entity.</w:t>
            </w:r>
          </w:p>
        </w:tc>
      </w:tr>
      <w:tr>
        <w:tc>
          <w:tcPr>
            <w:tcW w:w="23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AuditLog / RequestLog</w:t>
            </w:r>
          </w:p>
        </w:tc>
        <w:tc>
          <w:tcPr>
            <w:tcW w:w="9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C,R</w:t>
            </w:r>
          </w:p>
        </w:tc>
        <w:tc>
          <w:tcPr>
            <w:tcW w:w="611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Final decision and workflow evidence.</w:t>
            </w:r>
          </w:p>
        </w:tc>
      </w:tr>
    </w:tbl>
    <w:p>
      <w:pPr>
        <w:spacing w:before="40" w:after="100" w:line="276" w:lineRule="auto"/>
      </w:pPr>
      <w:r>
        <w:rPr>
          <w:rFonts w:ascii="Times New Roman" w:hAnsi="Times New Roman"/>
          <w:sz w:val="22"/>
        </w:rPr>
        <w:t xml:space="preserve"/>
      </w:r>
    </w:p>
    <w:p>
      <w:pPr>
        <w:keepNext/>
        <w:spacing w:before="40" w:after="120" w:line="276" w:lineRule="auto"/>
        <w:outlineLvl w:val="3"/>
      </w:pPr>
      <w:r>
        <w:rPr>
          <w:rFonts w:ascii="Times New Roman" w:hAnsi="Times New Roman"/>
          <w:sz w:val="22"/>
          <w:b/>
        </w:rPr>
        <w:t xml:space="preserve">API / Implementation Design</w:t>
      </w:r>
    </w:p>
    <w:p>
      <w:pPr>
        <w:spacing w:before="40" w:after="100" w:line="276" w:lineRule="auto"/>
      </w:pPr>
      <w:r>
        <w:rPr>
          <w:rFonts w:ascii="Times New Roman" w:hAnsi="Times New Roman"/>
          <w:sz w:val="22"/>
        </w:rPr>
        <w:t xml:space="preserve">Representative APIs: /api/v1/hiring-decisions/:requestId, request-info, /api/v1/offers, offer send/respond and /api/v1/notifications including SSE.</w:t>
      </w:r>
    </w:p>
    <w:p>
      <w:pPr>
        <w:spacing w:before="40" w:after="100" w:line="276" w:lineRule="auto"/>
      </w:pPr>
      <w:r>
        <w:rPr>
          <w:rFonts w:ascii="Times New Roman" w:hAnsi="Times New Roman"/>
          <w:sz w:val="22"/>
        </w:rPr>
        <w:t xml:space="preserve">Data-access rule: all mutations are validated and authorized before Prisma/queue operations. Queries are parameterized through Prisma or safe pgvector helpers; passwords, tokens and secrets are never embedded in SQL or returned in API payloads.</w:t>
      </w:r>
    </w:p>
    <w:p>
      <w:pPr>
        <w:keepNext/>
        <w:spacing w:before="240" w:after="120" w:line="276" w:lineRule="auto"/>
        <w:outlineLvl w:val="1"/>
      </w:pPr>
      <w:r>
        <w:rPr>
          <w:rFonts w:ascii="Times New Roman" w:hAnsi="Times New Roman"/>
          <w:sz w:val="28"/>
          <w:b/>
        </w:rPr>
        <w:t xml:space="preserve">8. Dashboards, Reports, Security and Operations</w:t>
      </w:r>
    </w:p>
    <w:p>
      <w:pPr>
        <w:keepNext/>
        <w:spacing w:before="180" w:after="120" w:line="276" w:lineRule="auto"/>
        <w:outlineLvl w:val="2"/>
      </w:pPr>
      <w:r>
        <w:rPr>
          <w:rFonts w:ascii="Times New Roman" w:hAnsi="Times New Roman"/>
          <w:sz w:val="24"/>
          <w:b/>
        </w:rPr>
        <w:t xml:space="preserve">8.1 Role Dashboards, Analytics and Health Monitoring</w:t>
      </w:r>
    </w:p>
    <w:p>
      <w:pPr>
        <w:keepNext/>
        <w:spacing w:before="40" w:after="120" w:line="276" w:lineRule="auto"/>
        <w:outlineLvl w:val="3"/>
      </w:pPr>
      <w:r>
        <w:rPr>
          <w:rFonts w:ascii="Times New Roman" w:hAnsi="Times New Roman"/>
          <w:sz w:val="22"/>
          <w:b/>
        </w:rPr>
        <w:t xml:space="preserve">a. Screen / Function Description</w:t>
      </w:r>
    </w:p>
    <w:p>
      <w:pPr>
        <w:spacing w:before="40" w:after="100" w:line="276" w:lineRule="auto"/>
      </w:pPr>
      <w:r>
        <w:rPr>
          <w:rFonts w:ascii="Times New Roman" w:hAnsi="Times New Roman"/>
          <w:sz w:val="22"/>
        </w:rPr>
        <w:t xml:space="preserve">Each role receives a scoped dashboard. Admin sees approval queues and strategic metrics; HR sees requests, campaigns, tasks and interviews; Department Heads see their department; Candidates see applications, interviews and offers. Report services calculate annual, department, time-to-hire, pipeline and realtime tracking data.</w:t>
      </w:r>
    </w:p>
    <w:p>
      <w:pPr>
        <w:spacing w:before="40" w:after="100" w:line="276" w:lineRule="auto"/>
      </w:pPr>
      <w:r>
        <w:rPr>
          <w:rFonts w:ascii="Times New Roman" w:hAnsi="Times New Roman"/>
          <w:sz w:val="22"/>
          <w:i/>
        </w:rPr>
        <w:t xml:space="preserve">Related use cases: UC-58 to UC-61</w:t>
      </w:r>
    </w:p>
    <w:p>
      <w:pPr>
        <w:keepNext/>
        <w:spacing w:before="40" w:after="120" w:line="276" w:lineRule="auto"/>
        <w:outlineLvl w:val="3"/>
      </w:pPr>
      <w:r>
        <w:rPr>
          <w:rFonts w:ascii="Times New Roman" w:hAnsi="Times New Roman"/>
          <w:sz w:val="22"/>
          <w:b/>
        </w:rPr>
        <w:t xml:space="preserve">UI Design and Components</w:t>
      </w:r>
    </w:p>
    <w:tbl>
      <w:tblPr>
        <w:tblW w:w="9360" w:type="dxa"/>
        <w:tblInd w:w="0" w:type="dxa"/>
        <w:tblLayout w:type="fixed"/>
        <w:tblBorders>
          <w:top w:val="single" w:sz="6" w:color="7F7F7F"/>
          <w:left w:val="single" w:sz="6" w:color="7F7F7F"/>
          <w:bottom w:val="single" w:sz="6" w:color="7F7F7F"/>
          <w:right w:val="single" w:sz="6" w:color="7F7F7F"/>
          <w:insideH w:val="single" w:sz="4" w:color="BFBFBF"/>
          <w:insideV w:val="single" w:sz="4" w:color="BFBFBF"/>
        </w:tblBorders>
      </w:tblPr>
      <w:tblGrid>
        <w:gridCol w:w="2100"/>
        <w:gridCol w:w="1800"/>
        <w:gridCol w:w="5460"/>
      </w:tblGrid>
      <w:tr>
        <w:trPr>
          <w:tblHeader/>
        </w:trPr>
        <w:tc>
          <w:tcPr>
            <w:tcW w:w="210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Field / Component</w:t>
            </w:r>
          </w:p>
        </w:tc>
        <w:tc>
          <w:tcPr>
            <w:tcW w:w="180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Field Type</w:t>
            </w:r>
          </w:p>
        </w:tc>
        <w:tc>
          <w:tcPr>
            <w:tcW w:w="546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Description</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Role dashboard</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Cards/tables</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Scoped counts, pending actions and navigation shortcuts.</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Date/year filters</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Date/select</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Controls annual, department and pipeline aggregation.</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Department filter</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Select</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Restricted by actor scope where required.</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Export</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Button</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Downloads supported annual report output.</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Realtime tracking</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Table</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Request owner, pending action, task/interview/offer counters and update time.</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Health status</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Status response</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Gateway and dependent service availability.</w:t>
            </w:r>
          </w:p>
        </w:tc>
      </w:tr>
      <w:tr>
        <w:tc>
          <w:tcPr>
            <w:tcW w:w="21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Audit lookup</w:t>
            </w:r>
          </w:p>
        </w:tc>
        <w:tc>
          <w:tcPr>
            <w:tcW w:w="18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Filter/table</w:t>
            </w:r>
          </w:p>
        </w:tc>
        <w:tc>
          <w:tcPr>
            <w:tcW w:w="54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Entity type/id search over audit history.</w:t>
            </w:r>
          </w:p>
        </w:tc>
      </w:tr>
    </w:tbl>
    <w:p>
      <w:pPr>
        <w:spacing w:before="40" w:after="100" w:line="276" w:lineRule="auto"/>
      </w:pPr>
      <w:r>
        <w:rPr>
          <w:rFonts w:ascii="Times New Roman" w:hAnsi="Times New Roman"/>
          <w:sz w:val="22"/>
        </w:rPr>
        <w:t xml:space="preserve"/>
      </w:r>
    </w:p>
    <w:p>
      <w:pPr>
        <w:keepNext/>
        <w:spacing w:before="40" w:after="120" w:line="276" w:lineRule="auto"/>
        <w:outlineLvl w:val="3"/>
      </w:pPr>
      <w:r>
        <w:rPr>
          <w:rFonts w:ascii="Times New Roman" w:hAnsi="Times New Roman"/>
          <w:sz w:val="22"/>
          <w:b/>
        </w:rPr>
        <w:t xml:space="preserve">Database Access</w:t>
      </w:r>
    </w:p>
    <w:tbl>
      <w:tblPr>
        <w:tblW w:w="9360" w:type="dxa"/>
        <w:tblInd w:w="0" w:type="dxa"/>
        <w:tblLayout w:type="fixed"/>
        <w:tblBorders>
          <w:top w:val="single" w:sz="6" w:color="7F7F7F"/>
          <w:left w:val="single" w:sz="6" w:color="7F7F7F"/>
          <w:bottom w:val="single" w:sz="6" w:color="7F7F7F"/>
          <w:right w:val="single" w:sz="6" w:color="7F7F7F"/>
          <w:insideH w:val="single" w:sz="4" w:color="BFBFBF"/>
          <w:insideV w:val="single" w:sz="4" w:color="BFBFBF"/>
        </w:tblBorders>
      </w:tblPr>
      <w:tblGrid>
        <w:gridCol w:w="2350"/>
        <w:gridCol w:w="900"/>
        <w:gridCol w:w="6110"/>
      </w:tblGrid>
      <w:tr>
        <w:trPr>
          <w:tblHeader/>
        </w:trPr>
        <w:tc>
          <w:tcPr>
            <w:tcW w:w="235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Table / Store</w:t>
            </w:r>
          </w:p>
        </w:tc>
        <w:tc>
          <w:tcPr>
            <w:tcW w:w="90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CRUD</w:t>
            </w:r>
          </w:p>
        </w:tc>
        <w:tc>
          <w:tcPr>
            <w:tcW w:w="611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Description</w:t>
            </w:r>
          </w:p>
        </w:tc>
      </w:tr>
      <w:tr>
        <w:tc>
          <w:tcPr>
            <w:tcW w:w="23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RecruitmentRequest / RequestLog</w:t>
            </w:r>
          </w:p>
        </w:tc>
        <w:tc>
          <w:tcPr>
            <w:tcW w:w="9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R</w:t>
            </w:r>
          </w:p>
        </w:tc>
        <w:tc>
          <w:tcPr>
            <w:tcW w:w="611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Pipeline, annual, ownership and time-to-hire metrics.</w:t>
            </w:r>
          </w:p>
        </w:tc>
      </w:tr>
      <w:tr>
        <w:tc>
          <w:tcPr>
            <w:tcW w:w="23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OverallPlan / TaskPlan</w:t>
            </w:r>
          </w:p>
        </w:tc>
        <w:tc>
          <w:tcPr>
            <w:tcW w:w="9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R</w:t>
            </w:r>
          </w:p>
        </w:tc>
        <w:tc>
          <w:tcPr>
            <w:tcW w:w="611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Campaign and work-progress metrics.</w:t>
            </w:r>
          </w:p>
        </w:tc>
      </w:tr>
      <w:tr>
        <w:tc>
          <w:tcPr>
            <w:tcW w:w="23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InterviewSchedule / InterviewResult</w:t>
            </w:r>
          </w:p>
        </w:tc>
        <w:tc>
          <w:tcPr>
            <w:tcW w:w="9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R</w:t>
            </w:r>
          </w:p>
        </w:tc>
        <w:tc>
          <w:tcPr>
            <w:tcW w:w="611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Interview workload and outcome metrics.</w:t>
            </w:r>
          </w:p>
        </w:tc>
      </w:tr>
      <w:tr>
        <w:tc>
          <w:tcPr>
            <w:tcW w:w="23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OfferLetter / Application</w:t>
            </w:r>
          </w:p>
        </w:tc>
        <w:tc>
          <w:tcPr>
            <w:tcW w:w="9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R</w:t>
            </w:r>
          </w:p>
        </w:tc>
        <w:tc>
          <w:tcPr>
            <w:tcW w:w="611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Offer and candidate conversion metrics.</w:t>
            </w:r>
          </w:p>
        </w:tc>
      </w:tr>
      <w:tr>
        <w:tc>
          <w:tcPr>
            <w:tcW w:w="23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AuditLog</w:t>
            </w:r>
          </w:p>
        </w:tc>
        <w:tc>
          <w:tcPr>
            <w:tcW w:w="9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R</w:t>
            </w:r>
          </w:p>
        </w:tc>
        <w:tc>
          <w:tcPr>
            <w:tcW w:w="611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Operational traceability.</w:t>
            </w:r>
          </w:p>
        </w:tc>
      </w:tr>
    </w:tbl>
    <w:p>
      <w:pPr>
        <w:spacing w:before="40" w:after="100" w:line="276" w:lineRule="auto"/>
      </w:pPr>
      <w:r>
        <w:rPr>
          <w:rFonts w:ascii="Times New Roman" w:hAnsi="Times New Roman"/>
          <w:sz w:val="22"/>
        </w:rPr>
        <w:t xml:space="preserve"/>
      </w:r>
    </w:p>
    <w:p>
      <w:pPr>
        <w:keepNext/>
        <w:spacing w:before="40" w:after="120" w:line="276" w:lineRule="auto"/>
        <w:outlineLvl w:val="3"/>
      </w:pPr>
      <w:r>
        <w:rPr>
          <w:rFonts w:ascii="Times New Roman" w:hAnsi="Times New Roman"/>
          <w:sz w:val="22"/>
          <w:b/>
        </w:rPr>
        <w:t xml:space="preserve">API / Implementation Design</w:t>
      </w:r>
    </w:p>
    <w:p>
      <w:pPr>
        <w:spacing w:before="40" w:after="100" w:line="276" w:lineRule="auto"/>
      </w:pPr>
      <w:r>
        <w:rPr>
          <w:rFonts w:ascii="Times New Roman" w:hAnsi="Times New Roman"/>
          <w:sz w:val="22"/>
        </w:rPr>
        <w:t xml:space="preserve">Representative APIs: /api/v1/reports/admin-dashboard, annual, departments, department/:id, time-to-hire, pipeline, annual/export, realtime-tracking, /api/v1/audit-logs and /api/v1/health.</w:t>
      </w:r>
    </w:p>
    <w:p>
      <w:pPr>
        <w:spacing w:before="40" w:after="100" w:line="276" w:lineRule="auto"/>
      </w:pPr>
      <w:r>
        <w:rPr>
          <w:rFonts w:ascii="Times New Roman" w:hAnsi="Times New Roman"/>
          <w:sz w:val="22"/>
        </w:rPr>
        <w:t xml:space="preserve">Data-access rule: all mutations are validated and authorized before Prisma/queue operations. Queries are parameterized through Prisma or safe pgvector helpers; passwords, tokens and secrets are never embedded in SQL or returned in API payloads.</w:t>
      </w:r>
    </w:p>
    <w:p>
      <w:pPr>
        <w:pageBreakBefore/>
        <w:keepNext/>
        <w:spacing w:before="320" w:after="120" w:line="276" w:lineRule="auto"/>
        <w:outlineLvl w:val="0"/>
      </w:pPr>
      <w:r>
        <w:rPr>
          <w:rFonts w:ascii="Times New Roman" w:hAnsi="Times New Roman"/>
          <w:sz w:val="32"/>
          <w:b/>
        </w:rPr>
        <w:t xml:space="preserve">IV. Appendix</w:t>
      </w:r>
    </w:p>
    <w:p>
      <w:pPr>
        <w:keepNext/>
        <w:spacing w:before="240" w:after="120" w:line="276" w:lineRule="auto"/>
        <w:outlineLvl w:val="1"/>
      </w:pPr>
      <w:r>
        <w:rPr>
          <w:rFonts w:ascii="Times New Roman" w:hAnsi="Times New Roman"/>
          <w:sz w:val="28"/>
          <w:b/>
        </w:rPr>
        <w:t xml:space="preserve">1. Assumptions &amp; Dependencies</w:t>
      </w:r>
    </w:p>
    <w:tbl>
      <w:tblPr>
        <w:tblW w:w="9360" w:type="dxa"/>
        <w:tblInd w:w="0" w:type="dxa"/>
        <w:tblLayout w:type="fixed"/>
        <w:tblBorders>
          <w:top w:val="single" w:sz="6" w:color="7F7F7F"/>
          <w:left w:val="single" w:sz="6" w:color="7F7F7F"/>
          <w:bottom w:val="single" w:sz="6" w:color="7F7F7F"/>
          <w:right w:val="single" w:sz="6" w:color="7F7F7F"/>
          <w:insideH w:val="single" w:sz="4" w:color="BFBFBF"/>
          <w:insideV w:val="single" w:sz="4" w:color="BFBFBF"/>
        </w:tblBorders>
      </w:tblPr>
      <w:tblGrid>
        <w:gridCol w:w="1200"/>
        <w:gridCol w:w="8160"/>
      </w:tblGrid>
      <w:tr>
        <w:trPr>
          <w:tblHeader/>
        </w:trPr>
        <w:tc>
          <w:tcPr>
            <w:tcW w:w="120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ID</w:t>
            </w:r>
          </w:p>
        </w:tc>
        <w:tc>
          <w:tcPr>
            <w:tcW w:w="816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Assumption</w:t>
            </w:r>
          </w:p>
        </w:tc>
      </w:tr>
      <w:tr>
        <w:tc>
          <w:tcPr>
            <w:tcW w:w="12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AS-01</w:t>
            </w:r>
          </w:p>
        </w:tc>
        <w:tc>
          <w:tcPr>
            <w:tcW w:w="816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All users have a unique email address and a valid canonical RMS role.</w:t>
            </w:r>
          </w:p>
        </w:tc>
      </w:tr>
      <w:tr>
        <w:tc>
          <w:tcPr>
            <w:tcW w:w="12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AS-02</w:t>
            </w:r>
          </w:p>
        </w:tc>
        <w:tc>
          <w:tcPr>
            <w:tcW w:w="816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Internal users belong to an organization and, where applicable, a department.</w:t>
            </w:r>
          </w:p>
        </w:tc>
      </w:tr>
      <w:tr>
        <w:tc>
          <w:tcPr>
            <w:tcW w:w="12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AS-03</w:t>
            </w:r>
          </w:p>
        </w:tc>
        <w:tc>
          <w:tcPr>
            <w:tcW w:w="816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Department Heads provide complete recruitment justification and job requirements before submission.</w:t>
            </w:r>
          </w:p>
        </w:tc>
      </w:tr>
      <w:tr>
        <w:tc>
          <w:tcPr>
            <w:tcW w:w="12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AS-04</w:t>
            </w:r>
          </w:p>
        </w:tc>
        <w:tc>
          <w:tcPr>
            <w:tcW w:w="816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HR and Admin follow the configured workflow rather than modifying database state directly.</w:t>
            </w:r>
          </w:p>
        </w:tc>
      </w:tr>
      <w:tr>
        <w:tc>
          <w:tcPr>
            <w:tcW w:w="12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AS-05</w:t>
            </w:r>
          </w:p>
        </w:tc>
        <w:tc>
          <w:tcPr>
            <w:tcW w:w="816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Uploaded CVs are readable PDF, DOC or DOCX files within configured limits.</w:t>
            </w:r>
          </w:p>
        </w:tc>
      </w:tr>
      <w:tr>
        <w:tc>
          <w:tcPr>
            <w:tcW w:w="12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AS-06</w:t>
            </w:r>
          </w:p>
        </w:tc>
        <w:tc>
          <w:tcPr>
            <w:tcW w:w="816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Interview panel members maintain accurate availability and contact information.</w:t>
            </w:r>
          </w:p>
        </w:tc>
      </w:tr>
      <w:tr>
        <w:tc>
          <w:tcPr>
            <w:tcW w:w="12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AS-07</w:t>
            </w:r>
          </w:p>
        </w:tc>
        <w:tc>
          <w:tcPr>
            <w:tcW w:w="816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Server time, database time and business timezone are synchronized.</w:t>
            </w:r>
          </w:p>
        </w:tc>
      </w:tr>
      <w:tr>
        <w:tc>
          <w:tcPr>
            <w:tcW w:w="12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AS-08</w:t>
            </w:r>
          </w:p>
        </w:tc>
        <w:tc>
          <w:tcPr>
            <w:tcW w:w="816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Email addresses and Google accounts used for calendar invitations are reachable.</w:t>
            </w:r>
          </w:p>
        </w:tc>
      </w:tr>
      <w:tr>
        <w:tc>
          <w:tcPr>
            <w:tcW w:w="12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AS-09</w:t>
            </w:r>
          </w:p>
        </w:tc>
        <w:tc>
          <w:tcPr>
            <w:tcW w:w="816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Report accuracy depends on complete RequestLog, interview, application and offer events.</w:t>
            </w:r>
          </w:p>
        </w:tc>
      </w:tr>
      <w:tr>
        <w:tc>
          <w:tcPr>
            <w:tcW w:w="12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AS-10</w:t>
            </w:r>
          </w:p>
        </w:tc>
        <w:tc>
          <w:tcPr>
            <w:tcW w:w="816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The system is deployed for a single enterprise organization in the MVP unless organization scoping is explicitly enabled.</w:t>
            </w:r>
          </w:p>
        </w:tc>
      </w:tr>
    </w:tbl>
    <w:p>
      <w:pPr>
        <w:spacing w:before="40" w:after="100" w:line="276" w:lineRule="auto"/>
      </w:pPr>
      <w:r>
        <w:rPr>
          <w:rFonts w:ascii="Times New Roman" w:hAnsi="Times New Roman"/>
          <w:sz w:val="22"/>
        </w:rPr>
        <w:t xml:space="preserve"/>
      </w:r>
    </w:p>
    <w:tbl>
      <w:tblPr>
        <w:tblW w:w="9360" w:type="dxa"/>
        <w:tblInd w:w="0" w:type="dxa"/>
        <w:tblLayout w:type="fixed"/>
        <w:tblBorders>
          <w:top w:val="single" w:sz="6" w:color="7F7F7F"/>
          <w:left w:val="single" w:sz="6" w:color="7F7F7F"/>
          <w:bottom w:val="single" w:sz="6" w:color="7F7F7F"/>
          <w:right w:val="single" w:sz="6" w:color="7F7F7F"/>
          <w:insideH w:val="single" w:sz="4" w:color="BFBFBF"/>
          <w:insideV w:val="single" w:sz="4" w:color="BFBFBF"/>
        </w:tblBorders>
      </w:tblPr>
      <w:tblGrid>
        <w:gridCol w:w="1200"/>
        <w:gridCol w:w="8160"/>
      </w:tblGrid>
      <w:tr>
        <w:trPr>
          <w:tblHeader/>
        </w:trPr>
        <w:tc>
          <w:tcPr>
            <w:tcW w:w="120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ID</w:t>
            </w:r>
          </w:p>
        </w:tc>
        <w:tc>
          <w:tcPr>
            <w:tcW w:w="816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Dependency</w:t>
            </w:r>
          </w:p>
        </w:tc>
      </w:tr>
      <w:tr>
        <w:tc>
          <w:tcPr>
            <w:tcW w:w="12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DE-01</w:t>
            </w:r>
          </w:p>
        </w:tc>
        <w:tc>
          <w:tcPr>
            <w:tcW w:w="816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Node.js 22+, npm workspaces and Turborepo for build orchestration.</w:t>
            </w:r>
          </w:p>
        </w:tc>
      </w:tr>
      <w:tr>
        <w:tc>
          <w:tcPr>
            <w:tcW w:w="12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DE-02</w:t>
            </w:r>
          </w:p>
        </w:tc>
        <w:tc>
          <w:tcPr>
            <w:tcW w:w="816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PostgreSQL 16 with pgvector enabled and Prisma migrations applied.</w:t>
            </w:r>
          </w:p>
        </w:tc>
      </w:tr>
      <w:tr>
        <w:tc>
          <w:tcPr>
            <w:tcW w:w="12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DE-03</w:t>
            </w:r>
          </w:p>
        </w:tc>
        <w:tc>
          <w:tcPr>
            <w:tcW w:w="816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Redis 7 and BullMQ workers for CV, embedding and reminder jobs.</w:t>
            </w:r>
          </w:p>
        </w:tc>
      </w:tr>
      <w:tr>
        <w:tc>
          <w:tcPr>
            <w:tcW w:w="12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DE-04</w:t>
            </w:r>
          </w:p>
        </w:tc>
        <w:tc>
          <w:tcPr>
            <w:tcW w:w="816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Object/file storage configuration for CV, avatar, evidence and job-posting media.</w:t>
            </w:r>
          </w:p>
        </w:tc>
      </w:tr>
      <w:tr>
        <w:tc>
          <w:tcPr>
            <w:tcW w:w="12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DE-05</w:t>
            </w:r>
          </w:p>
        </w:tc>
        <w:tc>
          <w:tcPr>
            <w:tcW w:w="816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SMTP/email provider configuration for OTP, invitations, reminders, offers and rejections.</w:t>
            </w:r>
          </w:p>
        </w:tc>
      </w:tr>
      <w:tr>
        <w:tc>
          <w:tcPr>
            <w:tcW w:w="12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DE-06</w:t>
            </w:r>
          </w:p>
        </w:tc>
        <w:tc>
          <w:tcPr>
            <w:tcW w:w="816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Google OAuth credentials and Calendar API for optional Google Meet/calendar integration.</w:t>
            </w:r>
          </w:p>
        </w:tc>
      </w:tr>
      <w:tr>
        <w:tc>
          <w:tcPr>
            <w:tcW w:w="12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DE-07</w:t>
            </w:r>
          </w:p>
        </w:tc>
        <w:tc>
          <w:tcPr>
            <w:tcW w:w="816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Supabase configuration when Supabase-backed login/registration is enabled.</w:t>
            </w:r>
          </w:p>
        </w:tc>
      </w:tr>
      <w:tr>
        <w:tc>
          <w:tcPr>
            <w:tcW w:w="12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DE-08</w:t>
            </w:r>
          </w:p>
        </w:tc>
        <w:tc>
          <w:tcPr>
            <w:tcW w:w="816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Local ONNX embedding model or configured embedding endpoint producing 384 dimensions.</w:t>
            </w:r>
          </w:p>
        </w:tc>
      </w:tr>
      <w:tr>
        <w:tc>
          <w:tcPr>
            <w:tcW w:w="12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DE-09</w:t>
            </w:r>
          </w:p>
        </w:tc>
        <w:tc>
          <w:tcPr>
            <w:tcW w:w="816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Gemini configuration when Gemini-based CV extraction is selected.</w:t>
            </w:r>
          </w:p>
        </w:tc>
      </w:tr>
      <w:tr>
        <w:tc>
          <w:tcPr>
            <w:tcW w:w="12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DE-10</w:t>
            </w:r>
          </w:p>
        </w:tc>
        <w:tc>
          <w:tcPr>
            <w:tcW w:w="816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Modern browser with JavaScript, secure cookies/local session storage and SSE support.</w:t>
            </w:r>
          </w:p>
        </w:tc>
      </w:tr>
    </w:tbl>
    <w:p>
      <w:pPr>
        <w:spacing w:before="40" w:after="100" w:line="276" w:lineRule="auto"/>
      </w:pPr>
      <w:r>
        <w:rPr>
          <w:rFonts w:ascii="Times New Roman" w:hAnsi="Times New Roman"/>
          <w:sz w:val="22"/>
        </w:rPr>
        <w:t xml:space="preserve"/>
      </w:r>
    </w:p>
    <w:p>
      <w:pPr>
        <w:keepNext/>
        <w:spacing w:before="240" w:after="120" w:line="276" w:lineRule="auto"/>
        <w:outlineLvl w:val="1"/>
      </w:pPr>
      <w:r>
        <w:rPr>
          <w:rFonts w:ascii="Times New Roman" w:hAnsi="Times New Roman"/>
          <w:sz w:val="28"/>
          <w:b/>
        </w:rPr>
        <w:t xml:space="preserve">2. Limitations &amp; Exclusions</w:t>
      </w:r>
    </w:p>
    <w:tbl>
      <w:tblPr>
        <w:tblW w:w="9360" w:type="dxa"/>
        <w:tblInd w:w="0" w:type="dxa"/>
        <w:tblLayout w:type="fixed"/>
        <w:tblBorders>
          <w:top w:val="single" w:sz="6" w:color="7F7F7F"/>
          <w:left w:val="single" w:sz="6" w:color="7F7F7F"/>
          <w:bottom w:val="single" w:sz="6" w:color="7F7F7F"/>
          <w:right w:val="single" w:sz="6" w:color="7F7F7F"/>
          <w:insideH w:val="single" w:sz="4" w:color="BFBFBF"/>
          <w:insideV w:val="single" w:sz="4" w:color="BFBFBF"/>
        </w:tblBorders>
      </w:tblPr>
      <w:tblGrid>
        <w:gridCol w:w="1200"/>
        <w:gridCol w:w="8160"/>
      </w:tblGrid>
      <w:tr>
        <w:trPr>
          <w:tblHeader/>
        </w:trPr>
        <w:tc>
          <w:tcPr>
            <w:tcW w:w="120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ID</w:t>
            </w:r>
          </w:p>
        </w:tc>
        <w:tc>
          <w:tcPr>
            <w:tcW w:w="816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Limitation / Exclusion</w:t>
            </w:r>
          </w:p>
        </w:tc>
      </w:tr>
      <w:tr>
        <w:tc>
          <w:tcPr>
            <w:tcW w:w="12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LE-01</w:t>
            </w:r>
          </w:p>
        </w:tc>
        <w:tc>
          <w:tcPr>
            <w:tcW w:w="816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RMS supports recruitment workflow management; it is not a payroll, attendance or employee-performance system.</w:t>
            </w:r>
          </w:p>
        </w:tc>
      </w:tr>
      <w:tr>
        <w:tc>
          <w:tcPr>
            <w:tcW w:w="12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LE-02</w:t>
            </w:r>
          </w:p>
        </w:tc>
        <w:tc>
          <w:tcPr>
            <w:tcW w:w="816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AI assists CV extraction and search; it does not make autonomous hiring decisions.</w:t>
            </w:r>
          </w:p>
        </w:tc>
      </w:tr>
      <w:tr>
        <w:tc>
          <w:tcPr>
            <w:tcW w:w="12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LE-03</w:t>
            </w:r>
          </w:p>
        </w:tc>
        <w:tc>
          <w:tcPr>
            <w:tcW w:w="816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Semantic ranking quality depends on parsed CV content and successful embedding generation. Newly uploaded CVs may not be searchable until asynchronous jobs finish.</w:t>
            </w:r>
          </w:p>
        </w:tc>
      </w:tr>
      <w:tr>
        <w:tc>
          <w:tcPr>
            <w:tcW w:w="12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LE-04</w:t>
            </w:r>
          </w:p>
        </w:tc>
        <w:tc>
          <w:tcPr>
            <w:tcW w:w="816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Google Calendar reminders do not guarantee email delivery; strict delivery requires the RMS notification/email worker.</w:t>
            </w:r>
          </w:p>
        </w:tc>
      </w:tr>
      <w:tr>
        <w:tc>
          <w:tcPr>
            <w:tcW w:w="12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LE-05</w:t>
            </w:r>
          </w:p>
        </w:tc>
        <w:tc>
          <w:tcPr>
            <w:tcW w:w="816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Calendar conflict detection is limited to accessible calendars and information granted by users.</w:t>
            </w:r>
          </w:p>
        </w:tc>
      </w:tr>
      <w:tr>
        <w:tc>
          <w:tcPr>
            <w:tcW w:w="12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LE-06</w:t>
            </w:r>
          </w:p>
        </w:tc>
        <w:tc>
          <w:tcPr>
            <w:tcW w:w="816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Offline interview evidence is retained for review but is not a digital-signature or legal-verification service.</w:t>
            </w:r>
          </w:p>
        </w:tc>
      </w:tr>
      <w:tr>
        <w:tc>
          <w:tcPr>
            <w:tcW w:w="12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LE-07</w:t>
            </w:r>
          </w:p>
        </w:tc>
        <w:tc>
          <w:tcPr>
            <w:tcW w:w="816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The MVP uses a shared PostgreSQL database; independent database-per-service deployment is excluded.</w:t>
            </w:r>
          </w:p>
        </w:tc>
      </w:tr>
      <w:tr>
        <w:tc>
          <w:tcPr>
            <w:tcW w:w="12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LE-08</w:t>
            </w:r>
          </w:p>
        </w:tc>
        <w:tc>
          <w:tcPr>
            <w:tcW w:w="816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Annual export supports implemented CSV/PDF formats only; arbitrary report-builder functionality is excluded.</w:t>
            </w:r>
          </w:p>
        </w:tc>
      </w:tr>
      <w:tr>
        <w:tc>
          <w:tcPr>
            <w:tcW w:w="12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LE-09</w:t>
            </w:r>
          </w:p>
        </w:tc>
        <w:tc>
          <w:tcPr>
            <w:tcW w:w="816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Mobile native applications are excluded; responsive web access is the supported client.</w:t>
            </w:r>
          </w:p>
        </w:tc>
      </w:tr>
      <w:tr>
        <w:tc>
          <w:tcPr>
            <w:tcW w:w="12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LE-10</w:t>
            </w:r>
          </w:p>
        </w:tc>
        <w:tc>
          <w:tcPr>
            <w:tcW w:w="816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External job boards, HRIS, payroll and background-check integrations are excluded unless separately configured.</w:t>
            </w:r>
          </w:p>
        </w:tc>
      </w:tr>
      <w:tr>
        <w:tc>
          <w:tcPr>
            <w:tcW w:w="12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LE-11</w:t>
            </w:r>
          </w:p>
        </w:tc>
        <w:tc>
          <w:tcPr>
            <w:tcW w:w="816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The system does not guarantee extraction accuracy for encrypted, scanned or malformed CV documents.</w:t>
            </w:r>
          </w:p>
        </w:tc>
      </w:tr>
      <w:tr>
        <w:tc>
          <w:tcPr>
            <w:tcW w:w="120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LE-12</w:t>
            </w:r>
          </w:p>
        </w:tc>
        <w:tc>
          <w:tcPr>
            <w:tcW w:w="816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Disaster recovery, multi-region active-active deployment and unlimited retention are operational extensions beyond the MVP.</w:t>
            </w:r>
          </w:p>
        </w:tc>
      </w:tr>
    </w:tbl>
    <w:p>
      <w:pPr>
        <w:spacing w:before="40" w:after="100" w:line="276" w:lineRule="auto"/>
      </w:pPr>
      <w:r>
        <w:rPr>
          <w:rFonts w:ascii="Times New Roman" w:hAnsi="Times New Roman"/>
          <w:sz w:val="22"/>
        </w:rPr>
        <w:t xml:space="preserve"/>
      </w:r>
    </w:p>
    <w:p>
      <w:pPr>
        <w:keepNext/>
        <w:spacing w:before="240" w:after="120" w:line="276" w:lineRule="auto"/>
        <w:outlineLvl w:val="1"/>
      </w:pPr>
      <w:r>
        <w:rPr>
          <w:rFonts w:ascii="Times New Roman" w:hAnsi="Times New Roman"/>
          <w:sz w:val="28"/>
          <w:b/>
        </w:rPr>
        <w:t xml:space="preserve">3. Business Rules</w:t>
      </w:r>
    </w:p>
    <w:tbl>
      <w:tblPr>
        <w:tblW w:w="9360" w:type="dxa"/>
        <w:tblInd w:w="0" w:type="dxa"/>
        <w:tblLayout w:type="fixed"/>
        <w:tblBorders>
          <w:top w:val="single" w:sz="6" w:color="7F7F7F"/>
          <w:left w:val="single" w:sz="6" w:color="7F7F7F"/>
          <w:bottom w:val="single" w:sz="6" w:color="7F7F7F"/>
          <w:right w:val="single" w:sz="6" w:color="7F7F7F"/>
          <w:insideH w:val="single" w:sz="4" w:color="BFBFBF"/>
          <w:insideV w:val="single" w:sz="4" w:color="BFBFBF"/>
        </w:tblBorders>
      </w:tblPr>
      <w:tblGrid>
        <w:gridCol w:w="1050"/>
        <w:gridCol w:w="1650"/>
        <w:gridCol w:w="6660"/>
      </w:tblGrid>
      <w:tr>
        <w:trPr>
          <w:tblHeader/>
        </w:trPr>
        <w:tc>
          <w:tcPr>
            <w:tcW w:w="105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ID</w:t>
            </w:r>
          </w:p>
        </w:tc>
        <w:tc>
          <w:tcPr>
            <w:tcW w:w="165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Category</w:t>
            </w:r>
          </w:p>
        </w:tc>
        <w:tc>
          <w:tcPr>
            <w:tcW w:w="666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Rule Definition</w:t>
            </w:r>
          </w:p>
        </w:tc>
      </w:tr>
      <w:tr>
        <w:tc>
          <w:tcPr>
            <w:tcW w:w="10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BR-01</w:t>
            </w:r>
          </w:p>
        </w:tc>
        <w:tc>
          <w:tcPr>
            <w:tcW w:w="16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Security</w:t>
            </w:r>
          </w:p>
        </w:tc>
        <w:tc>
          <w:tcPr>
            <w:tcW w:w="66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Every protected API requires a valid access token and an authorized role.</w:t>
            </w:r>
          </w:p>
        </w:tc>
      </w:tr>
      <w:tr>
        <w:tc>
          <w:tcPr>
            <w:tcW w:w="10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BR-02</w:t>
            </w:r>
          </w:p>
        </w:tc>
        <w:tc>
          <w:tcPr>
            <w:tcW w:w="16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Identity</w:t>
            </w:r>
          </w:p>
        </w:tc>
        <w:tc>
          <w:tcPr>
            <w:tcW w:w="66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Inactive users cannot authenticate or perform protected business actions.</w:t>
            </w:r>
          </w:p>
        </w:tc>
      </w:tr>
      <w:tr>
        <w:tc>
          <w:tcPr>
            <w:tcW w:w="10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BR-03</w:t>
            </w:r>
          </w:p>
        </w:tc>
        <w:tc>
          <w:tcPr>
            <w:tcW w:w="16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Scope</w:t>
            </w:r>
          </w:p>
        </w:tc>
        <w:tc>
          <w:tcPr>
            <w:tcW w:w="66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Users may access only organization, department, request, candidate or offer records permitted by their role and ownership.</w:t>
            </w:r>
          </w:p>
        </w:tc>
      </w:tr>
      <w:tr>
        <w:tc>
          <w:tcPr>
            <w:tcW w:w="10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BR-04</w:t>
            </w:r>
          </w:p>
        </w:tc>
        <w:tc>
          <w:tcPr>
            <w:tcW w:w="16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Request workflow</w:t>
            </w:r>
          </w:p>
        </w:tc>
        <w:tc>
          <w:tcPr>
            <w:tcW w:w="66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A recruitment request must follow valid state transitions; rejection, revision and request-change actions require a reason.</w:t>
            </w:r>
          </w:p>
        </w:tc>
      </w:tr>
      <w:tr>
        <w:tc>
          <w:tcPr>
            <w:tcW w:w="10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BR-05</w:t>
            </w:r>
          </w:p>
        </w:tc>
        <w:tc>
          <w:tcPr>
            <w:tcW w:w="16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Approval</w:t>
            </w:r>
          </w:p>
        </w:tc>
        <w:tc>
          <w:tcPr>
            <w:tcW w:w="66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Only Admin performs final request approval and final hiring decision.</w:t>
            </w:r>
          </w:p>
        </w:tc>
      </w:tr>
      <w:tr>
        <w:tc>
          <w:tcPr>
            <w:tcW w:w="10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BR-06</w:t>
            </w:r>
          </w:p>
        </w:tc>
        <w:tc>
          <w:tcPr>
            <w:tcW w:w="16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Plan lock</w:t>
            </w:r>
          </w:p>
        </w:tc>
        <w:tc>
          <w:tcPr>
            <w:tcW w:w="66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Sourcing, screening, interview and offer activities are blocked until the related OverallPlan is approved/active.</w:t>
            </w:r>
          </w:p>
        </w:tc>
      </w:tr>
      <w:tr>
        <w:tc>
          <w:tcPr>
            <w:tcW w:w="10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BR-07</w:t>
            </w:r>
          </w:p>
        </w:tc>
        <w:tc>
          <w:tcPr>
            <w:tcW w:w="16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Task planning</w:t>
            </w:r>
          </w:p>
        </w:tc>
        <w:tc>
          <w:tcPr>
            <w:tcW w:w="66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Task dates must be within the OverallPlan period; only eligible active HR users may be assigned.</w:t>
            </w:r>
          </w:p>
        </w:tc>
      </w:tr>
      <w:tr>
        <w:tc>
          <w:tcPr>
            <w:tcW w:w="10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BR-08</w:t>
            </w:r>
          </w:p>
        </w:tc>
        <w:tc>
          <w:tcPr>
            <w:tcW w:w="16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CV processing</w:t>
            </w:r>
          </w:p>
        </w:tc>
        <w:tc>
          <w:tcPr>
            <w:tcW w:w="66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A CV becomes semantically searchable only after parse success and creation of a 384-dimensional embedding.</w:t>
            </w:r>
          </w:p>
        </w:tc>
      </w:tr>
      <w:tr>
        <w:tc>
          <w:tcPr>
            <w:tcW w:w="10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BR-09</w:t>
            </w:r>
          </w:p>
        </w:tc>
        <w:tc>
          <w:tcPr>
            <w:tcW w:w="16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Search</w:t>
            </w:r>
          </w:p>
        </w:tc>
        <w:tc>
          <w:tcPr>
            <w:tcW w:w="66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Hybrid ranking may combine vector similarity, skill-graph proximity and requirement coverage; ranking is advisory.</w:t>
            </w:r>
          </w:p>
        </w:tc>
      </w:tr>
      <w:tr>
        <w:tc>
          <w:tcPr>
            <w:tcW w:w="10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BR-10</w:t>
            </w:r>
          </w:p>
        </w:tc>
        <w:tc>
          <w:tcPr>
            <w:tcW w:w="16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Interview panel</w:t>
            </w:r>
          </w:p>
        </w:tc>
        <w:tc>
          <w:tcPr>
            <w:tcW w:w="66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A scheduled interview requires at least two distinct active internal panel members.</w:t>
            </w:r>
          </w:p>
        </w:tc>
      </w:tr>
      <w:tr>
        <w:tc>
          <w:tcPr>
            <w:tcW w:w="10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BR-11</w:t>
            </w:r>
          </w:p>
        </w:tc>
        <w:tc>
          <w:tcPr>
            <w:tcW w:w="16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Interview mode</w:t>
            </w:r>
          </w:p>
        </w:tc>
        <w:tc>
          <w:tcPr>
            <w:tcW w:w="66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ONLINE requires a meeting link or successfully generated Meet link; OFFLINE requires a venue and may require supporting evidence for Admin review.</w:t>
            </w:r>
          </w:p>
        </w:tc>
      </w:tr>
      <w:tr>
        <w:tc>
          <w:tcPr>
            <w:tcW w:w="10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BR-12</w:t>
            </w:r>
          </w:p>
        </w:tc>
        <w:tc>
          <w:tcPr>
            <w:tcW w:w="16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Calendar</w:t>
            </w:r>
          </w:p>
        </w:tc>
        <w:tc>
          <w:tcPr>
            <w:tcW w:w="66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Meet creation uses authorized Google Calendar credentials; attendee updates are sent to configured participants.</w:t>
            </w:r>
          </w:p>
        </w:tc>
      </w:tr>
      <w:tr>
        <w:tc>
          <w:tcPr>
            <w:tcW w:w="10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BR-13</w:t>
            </w:r>
          </w:p>
        </w:tc>
        <w:tc>
          <w:tcPr>
            <w:tcW w:w="16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Feedback</w:t>
            </w:r>
          </w:p>
        </w:tc>
        <w:tc>
          <w:tcPr>
            <w:tcW w:w="66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Only authorized panel/HR evaluators may submit feedback; an evaluator cannot impersonate another evaluator.</w:t>
            </w:r>
          </w:p>
        </w:tc>
      </w:tr>
      <w:tr>
        <w:tc>
          <w:tcPr>
            <w:tcW w:w="10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BR-14</w:t>
            </w:r>
          </w:p>
        </w:tc>
        <w:tc>
          <w:tcPr>
            <w:tcW w:w="16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Decision</w:t>
            </w:r>
          </w:p>
        </w:tc>
        <w:tc>
          <w:tcPr>
            <w:tcW w:w="66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HIRE requires candidateId, compensation and startDate; REJECT or REQUEST_INFO requires an explanatory reason/note.</w:t>
            </w:r>
          </w:p>
        </w:tc>
      </w:tr>
      <w:tr>
        <w:tc>
          <w:tcPr>
            <w:tcW w:w="10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BR-15</w:t>
            </w:r>
          </w:p>
        </w:tc>
        <w:tc>
          <w:tcPr>
            <w:tcW w:w="16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Offer ownership</w:t>
            </w:r>
          </w:p>
        </w:tc>
        <w:tc>
          <w:tcPr>
            <w:tcW w:w="66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Only the candidate who owns an offer may accept or decline it; a finalized response cannot be silently overwritten.</w:t>
            </w:r>
          </w:p>
        </w:tc>
      </w:tr>
      <w:tr>
        <w:tc>
          <w:tcPr>
            <w:tcW w:w="10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BR-16</w:t>
            </w:r>
          </w:p>
        </w:tc>
        <w:tc>
          <w:tcPr>
            <w:tcW w:w="16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Notifications</w:t>
            </w:r>
          </w:p>
        </w:tc>
        <w:tc>
          <w:tcPr>
            <w:tcW w:w="66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Notifications are user-scoped; only the owner may read, mark, delete or stream them.</w:t>
            </w:r>
          </w:p>
        </w:tc>
      </w:tr>
      <w:tr>
        <w:tc>
          <w:tcPr>
            <w:tcW w:w="10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BR-17</w:t>
            </w:r>
          </w:p>
        </w:tc>
        <w:tc>
          <w:tcPr>
            <w:tcW w:w="16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Audit</w:t>
            </w:r>
          </w:p>
        </w:tc>
        <w:tc>
          <w:tcPr>
            <w:tcW w:w="66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Material workflow, role, decision and status changes must write RequestLog and/or AuditLog records.</w:t>
            </w:r>
          </w:p>
        </w:tc>
      </w:tr>
      <w:tr>
        <w:tc>
          <w:tcPr>
            <w:tcW w:w="10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BR-18</w:t>
            </w:r>
          </w:p>
        </w:tc>
        <w:tc>
          <w:tcPr>
            <w:tcW w:w="16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Reminders</w:t>
            </w:r>
          </w:p>
        </w:tc>
        <w:tc>
          <w:tcPr>
            <w:tcW w:w="66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Deadline reminders must be idempotent and must not create duplicate notification/email logs for the same reminder point.</w:t>
            </w:r>
          </w:p>
        </w:tc>
      </w:tr>
      <w:tr>
        <w:tc>
          <w:tcPr>
            <w:tcW w:w="10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BR-19</w:t>
            </w:r>
          </w:p>
        </w:tc>
        <w:tc>
          <w:tcPr>
            <w:tcW w:w="16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Reporting</w:t>
            </w:r>
          </w:p>
        </w:tc>
        <w:tc>
          <w:tcPr>
            <w:tcW w:w="66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Department Heads see their department only; HR and Admin report scope follows configured role permissions.</w:t>
            </w:r>
          </w:p>
        </w:tc>
      </w:tr>
      <w:tr>
        <w:tc>
          <w:tcPr>
            <w:tcW w:w="10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BR-20</w:t>
            </w:r>
          </w:p>
        </w:tc>
        <w:tc>
          <w:tcPr>
            <w:tcW w:w="16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Data integrity</w:t>
            </w:r>
          </w:p>
        </w:tc>
        <w:tc>
          <w:tcPr>
            <w:tcW w:w="6660" w:type="dxa"/>
            <w:tcMar>
              <w:top w:w="90" w:type="dxa"/>
              <w:left w:w="110" w:type="dxa"/>
              <w:bottom w:w="90" w:type="dxa"/>
              <w:right w:w="110" w:type="dxa"/>
            </w:tcMar>
            <w:vAlign w:val="center"/>
          </w:tcPr>
          <w:p>
            <w:pPr>
              <w:spacing w:after="20" w:line="240" w:lineRule="auto"/>
            </w:pPr>
            <w:r>
              <w:rPr>
                <w:rFonts w:ascii="Times New Roman" w:hAnsi="Times New Roman"/>
                <w:sz w:val="19"/>
              </w:rPr>
              <w:t xml:space="preserve">Database mutations that create related decision, offer, log and notification records must be transactional where consistency requires it.</w:t>
            </w:r>
          </w:p>
        </w:tc>
      </w:tr>
    </w:tbl>
    <w:p>
      <w:pPr>
        <w:spacing w:before="40" w:after="100" w:line="276" w:lineRule="auto"/>
      </w:pPr>
      <w:r>
        <w:rPr>
          <w:rFonts w:ascii="Times New Roman" w:hAnsi="Times New Roman"/>
          <w:sz w:val="22"/>
        </w:rPr>
        <w:t xml:space="preserve"/>
      </w:r>
    </w:p>
    <w:p>
      <w:pPr>
        <w:keepNext/>
        <w:spacing w:before="240" w:after="120" w:line="276" w:lineRule="auto"/>
        <w:outlineLvl w:val="1"/>
      </w:pPr>
      <w:r>
        <w:rPr>
          <w:rFonts w:ascii="Times New Roman" w:hAnsi="Times New Roman"/>
          <w:sz w:val="28"/>
          <w:b/>
        </w:rPr>
        <w:t xml:space="preserve">4. Traceability and Technical References</w:t>
      </w:r>
    </w:p>
    <w:tbl>
      <w:tblPr>
        <w:tblW w:w="9360" w:type="dxa"/>
        <w:tblInd w:w="0" w:type="dxa"/>
        <w:tblLayout w:type="fixed"/>
        <w:tblBorders>
          <w:top w:val="single" w:sz="6" w:color="7F7F7F"/>
          <w:left w:val="single" w:sz="6" w:color="7F7F7F"/>
          <w:bottom w:val="single" w:sz="6" w:color="7F7F7F"/>
          <w:right w:val="single" w:sz="6" w:color="7F7F7F"/>
          <w:insideH w:val="single" w:sz="4" w:color="BFBFBF"/>
          <w:insideV w:val="single" w:sz="4" w:color="BFBFBF"/>
        </w:tblBorders>
      </w:tblPr>
      <w:tblGrid>
        <w:gridCol w:w="2450"/>
        <w:gridCol w:w="6910"/>
      </w:tblGrid>
      <w:tr>
        <w:trPr>
          <w:tblHeader/>
        </w:trPr>
        <w:tc>
          <w:tcPr>
            <w:tcW w:w="245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Area</w:t>
            </w:r>
          </w:p>
        </w:tc>
        <w:tc>
          <w:tcPr>
            <w:tcW w:w="6910" w:type="dxa"/>
            <w:tcMar>
              <w:top w:w="90" w:type="dxa"/>
              <w:left w:w="110" w:type="dxa"/>
              <w:bottom w:w="90" w:type="dxa"/>
              <w:right w:w="110" w:type="dxa"/>
            </w:tcMar>
            <w:shd w:fill="D9EAF7"/>
            <w:vAlign w:val="center"/>
          </w:tcPr>
          <w:p>
            <w:pPr>
              <w:spacing w:after="20" w:line="240" w:lineRule="auto"/>
              <w:jc w:val="center"/>
            </w:pPr>
            <w:r>
              <w:rPr>
                <w:rFonts w:ascii="Times New Roman" w:hAnsi="Times New Roman"/>
                <w:sz w:val="19"/>
                <w:b/>
              </w:rPr>
              <w:t xml:space="preserve">Repository Reference</w:t>
            </w:r>
          </w:p>
        </w:tc>
      </w:tr>
      <w:tr>
        <w:tc>
          <w:tcPr>
            <w:tcW w:w="24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Functional requirements</w:t>
            </w:r>
          </w:p>
        </w:tc>
        <w:tc>
          <w:tcPr>
            <w:tcW w:w="691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docs/use-case-specifications.md; docs/backend-endpoints-summary.md; docs/all-tasks.md</w:t>
            </w:r>
          </w:p>
        </w:tc>
      </w:tr>
      <w:tr>
        <w:tc>
          <w:tcPr>
            <w:tcW w:w="24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Architecture</w:t>
            </w:r>
          </w:p>
        </w:tc>
        <w:tc>
          <w:tcPr>
            <w:tcW w:w="691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docs/architecture.md; docs/project-overview.md; docs/source-tree-analysis.md</w:t>
            </w:r>
          </w:p>
        </w:tc>
      </w:tr>
      <w:tr>
        <w:tc>
          <w:tcPr>
            <w:tcW w:w="24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Database</w:t>
            </w:r>
          </w:p>
        </w:tc>
        <w:tc>
          <w:tcPr>
            <w:tcW w:w="691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packages/database/prisma/schema.prisma; packages/database/prisma/migrations</w:t>
            </w:r>
          </w:p>
        </w:tc>
      </w:tr>
      <w:tr>
        <w:tc>
          <w:tcPr>
            <w:tcW w:w="24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API Gateway</w:t>
            </w:r>
          </w:p>
        </w:tc>
        <w:tc>
          <w:tcPr>
            <w:tcW w:w="691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services/gateway/src/controllers</w:t>
            </w:r>
          </w:p>
        </w:tc>
      </w:tr>
      <w:tr>
        <w:tc>
          <w:tcPr>
            <w:tcW w:w="24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Domain services</w:t>
            </w:r>
          </w:p>
        </w:tc>
        <w:tc>
          <w:tcPr>
            <w:tcW w:w="691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services/identity; services/recruiting; services/profiles; services/cv; services/interview; services/notification</w:t>
            </w:r>
          </w:p>
        </w:tc>
      </w:tr>
      <w:tr>
        <w:tc>
          <w:tcPr>
            <w:tcW w:w="24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Frontend</w:t>
            </w:r>
          </w:p>
        </w:tc>
        <w:tc>
          <w:tcPr>
            <w:tcW w:w="691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webapp/src/features; webapp/src/App.tsx; webapp/src/metadata.json</w:t>
            </w:r>
          </w:p>
        </w:tc>
      </w:tr>
      <w:tr>
        <w:tc>
          <w:tcPr>
            <w:tcW w:w="24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AI and workers</w:t>
            </w:r>
          </w:p>
        </w:tc>
        <w:tc>
          <w:tcPr>
            <w:tcW w:w="691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packages/ai; packages/ai-models; services/worker; packages/queue</w:t>
            </w:r>
          </w:p>
        </w:tc>
      </w:tr>
      <w:tr>
        <w:tc>
          <w:tcPr>
            <w:tcW w:w="245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Contracts and validation</w:t>
            </w:r>
          </w:p>
        </w:tc>
        <w:tc>
          <w:tcPr>
            <w:tcW w:w="6910" w:type="dxa"/>
            <w:tcMar>
              <w:top w:w="90" w:type="dxa"/>
              <w:left w:w="110" w:type="dxa"/>
              <w:bottom w:w="90" w:type="dxa"/>
              <w:right w:w="110" w:type="dxa"/>
            </w:tcMar>
            <w:vAlign w:val="center"/>
          </w:tcPr>
          <w:p>
            <w:pPr>
              <w:spacing w:after="20" w:line="240" w:lineRule="auto"/>
              <w:jc w:val="center"/>
            </w:pPr>
            <w:r>
              <w:rPr>
                <w:rFonts w:ascii="Times New Roman" w:hAnsi="Times New Roman"/>
                <w:sz w:val="19"/>
              </w:rPr>
              <w:t xml:space="preserve">packages/contracts; packages/config</w:t>
            </w:r>
          </w:p>
        </w:tc>
      </w:tr>
    </w:tbl>
    <w:p>
      <w:pPr>
        <w:spacing w:before="40" w:after="100" w:line="276" w:lineRule="auto"/>
      </w:pPr>
      <w:r>
        <w:rPr>
          <w:rFonts w:ascii="Times New Roman" w:hAnsi="Times New Roman"/>
          <w:sz w:val="22"/>
        </w:rPr>
        <w:t xml:space="preserve"/>
      </w:r>
    </w:p>
    <w:p>
      <w:pPr>
        <w:spacing w:before="40" w:after="100" w:line="276" w:lineRule="auto"/>
      </w:pPr>
      <w:r>
        <w:rPr>
          <w:rFonts w:ascii="Times New Roman" w:hAnsi="Times New Roman"/>
          <w:sz w:val="22"/>
          <w:i/>
        </w:rPr>
        <w:t xml:space="preserve">Document completion note: Sections III and IV are grounded in the current RMS repository structure and implemented endpoints as of 11 July 2026. If database models, role enums, APIs or workflow states change, these sections must be updated in the same change set.</w:t>
      </w: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S Mincho">
    <w:panose1 w:val="02020609040205080304"/>
    <w:charset w:val="80"/>
    <w:family w:val="modern"/>
    <w:pitch w:val="default"/>
    <w:sig w:usb0="E00002FF" w:usb1="6AC7FDFB" w:usb2="08000012" w:usb3="00000000" w:csb0="4002009F" w:csb1="DFD70000"/>
  </w:font>
  <w:font w:name="Tahoma">
    <w:panose1 w:val="020B0604030504040204"/>
    <w:charset w:val="00"/>
    <w:family w:val="swiss"/>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36E18">
    <w:pPr>
      <w:pStyle w:val="11"/>
      <w:pBdr>
        <w:top w:val="single" w:color="auto" w:sz="8" w:space="1"/>
      </w:pBdr>
    </w:pPr>
    <w:r>
      <w:t>GAMS-SRS_v1.0</w:t>
    </w:r>
    <w:r>
      <w:tab/>
    </w:r>
    <w:r>
      <w:tab/>
    </w:r>
    <w:r>
      <w:t xml:space="preserve">Page </w:t>
    </w:r>
    <w:r>
      <w:fldChar w:fldCharType="begin"/>
    </w:r>
    <w:r>
      <w:instrText xml:space="preserve"> PAGE   \* MERGEFORMAT </w:instrText>
    </w:r>
    <w:r>
      <w:fldChar w:fldCharType="separate"/>
    </w:r>
    <w:r>
      <w:t>1</w:t>
    </w:r>
    <w:r>
      <w:fldChar w:fldCharType="end"/>
    </w:r>
    <w:r>
      <w:t xml:space="preserve"> / 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C1F68C2"/>
    <w:multiLevelType w:val="multilevel"/>
    <w:tmpl w:val="5C1F68C2"/>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
    <w:nsid w:val="5DCD4DD9"/>
    <w:multiLevelType w:val="multilevel"/>
    <w:tmpl w:val="5DCD4DD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1BAB"/>
    <w:rsid w:val="000008BF"/>
    <w:rsid w:val="00002AF4"/>
    <w:rsid w:val="00003358"/>
    <w:rsid w:val="00010A5B"/>
    <w:rsid w:val="00011F7B"/>
    <w:rsid w:val="000142F3"/>
    <w:rsid w:val="000200F4"/>
    <w:rsid w:val="000224DC"/>
    <w:rsid w:val="00023965"/>
    <w:rsid w:val="00026233"/>
    <w:rsid w:val="000266EF"/>
    <w:rsid w:val="00027664"/>
    <w:rsid w:val="0003286E"/>
    <w:rsid w:val="00033E67"/>
    <w:rsid w:val="00052167"/>
    <w:rsid w:val="00052176"/>
    <w:rsid w:val="0005353D"/>
    <w:rsid w:val="00067F20"/>
    <w:rsid w:val="00072ABC"/>
    <w:rsid w:val="000735D6"/>
    <w:rsid w:val="000739AB"/>
    <w:rsid w:val="00075FED"/>
    <w:rsid w:val="000770BA"/>
    <w:rsid w:val="00077CF7"/>
    <w:rsid w:val="00083306"/>
    <w:rsid w:val="00087532"/>
    <w:rsid w:val="00092885"/>
    <w:rsid w:val="000A7A93"/>
    <w:rsid w:val="000B2727"/>
    <w:rsid w:val="000B4973"/>
    <w:rsid w:val="000C23DC"/>
    <w:rsid w:val="000C4D4E"/>
    <w:rsid w:val="000C6145"/>
    <w:rsid w:val="000D481A"/>
    <w:rsid w:val="000D48F0"/>
    <w:rsid w:val="000D6F71"/>
    <w:rsid w:val="000E2EE0"/>
    <w:rsid w:val="000F0C74"/>
    <w:rsid w:val="000F7F3B"/>
    <w:rsid w:val="00100F85"/>
    <w:rsid w:val="00101147"/>
    <w:rsid w:val="00102E14"/>
    <w:rsid w:val="00103F24"/>
    <w:rsid w:val="00111096"/>
    <w:rsid w:val="0011469F"/>
    <w:rsid w:val="00124406"/>
    <w:rsid w:val="00130670"/>
    <w:rsid w:val="00130FDE"/>
    <w:rsid w:val="0013537B"/>
    <w:rsid w:val="00136985"/>
    <w:rsid w:val="0014026D"/>
    <w:rsid w:val="00141D80"/>
    <w:rsid w:val="00142981"/>
    <w:rsid w:val="001443C6"/>
    <w:rsid w:val="001450E5"/>
    <w:rsid w:val="001514A2"/>
    <w:rsid w:val="0015617A"/>
    <w:rsid w:val="00156322"/>
    <w:rsid w:val="00156A68"/>
    <w:rsid w:val="00161E17"/>
    <w:rsid w:val="00172BA6"/>
    <w:rsid w:val="00173C02"/>
    <w:rsid w:val="00176190"/>
    <w:rsid w:val="00186514"/>
    <w:rsid w:val="00196F4A"/>
    <w:rsid w:val="001A35A8"/>
    <w:rsid w:val="001A3954"/>
    <w:rsid w:val="001B1686"/>
    <w:rsid w:val="001B2749"/>
    <w:rsid w:val="001B55D9"/>
    <w:rsid w:val="001C7C25"/>
    <w:rsid w:val="001D730C"/>
    <w:rsid w:val="001E5B34"/>
    <w:rsid w:val="001F242F"/>
    <w:rsid w:val="001F2C6F"/>
    <w:rsid w:val="001F50B7"/>
    <w:rsid w:val="001F6C74"/>
    <w:rsid w:val="001F71E2"/>
    <w:rsid w:val="001F74F0"/>
    <w:rsid w:val="0020272C"/>
    <w:rsid w:val="00204A0F"/>
    <w:rsid w:val="00204DCA"/>
    <w:rsid w:val="00205C40"/>
    <w:rsid w:val="00207E77"/>
    <w:rsid w:val="00211EEB"/>
    <w:rsid w:val="0021283D"/>
    <w:rsid w:val="00221BAB"/>
    <w:rsid w:val="00225CEB"/>
    <w:rsid w:val="00230E28"/>
    <w:rsid w:val="00233188"/>
    <w:rsid w:val="0023364E"/>
    <w:rsid w:val="002352D0"/>
    <w:rsid w:val="00235DED"/>
    <w:rsid w:val="00247EA5"/>
    <w:rsid w:val="002508DF"/>
    <w:rsid w:val="0025140E"/>
    <w:rsid w:val="00261180"/>
    <w:rsid w:val="00261D26"/>
    <w:rsid w:val="00264E9D"/>
    <w:rsid w:val="00267758"/>
    <w:rsid w:val="00273D93"/>
    <w:rsid w:val="002763F2"/>
    <w:rsid w:val="00277CBE"/>
    <w:rsid w:val="00280A29"/>
    <w:rsid w:val="00280C5D"/>
    <w:rsid w:val="0028567C"/>
    <w:rsid w:val="00285D5B"/>
    <w:rsid w:val="00292329"/>
    <w:rsid w:val="00295038"/>
    <w:rsid w:val="002972F2"/>
    <w:rsid w:val="002A3AD3"/>
    <w:rsid w:val="002C3949"/>
    <w:rsid w:val="002C3B3C"/>
    <w:rsid w:val="002C4662"/>
    <w:rsid w:val="002C60A5"/>
    <w:rsid w:val="002D2048"/>
    <w:rsid w:val="002D563C"/>
    <w:rsid w:val="002D7C3B"/>
    <w:rsid w:val="002E0383"/>
    <w:rsid w:val="002E5407"/>
    <w:rsid w:val="002E5409"/>
    <w:rsid w:val="002E62F0"/>
    <w:rsid w:val="002F330E"/>
    <w:rsid w:val="002F4B12"/>
    <w:rsid w:val="00303CB7"/>
    <w:rsid w:val="00305DAF"/>
    <w:rsid w:val="00311D54"/>
    <w:rsid w:val="003161B2"/>
    <w:rsid w:val="003169B5"/>
    <w:rsid w:val="00324B07"/>
    <w:rsid w:val="00330EB6"/>
    <w:rsid w:val="003342E5"/>
    <w:rsid w:val="00341406"/>
    <w:rsid w:val="003425BE"/>
    <w:rsid w:val="003524C0"/>
    <w:rsid w:val="003539F5"/>
    <w:rsid w:val="0035648A"/>
    <w:rsid w:val="00360C1A"/>
    <w:rsid w:val="00361115"/>
    <w:rsid w:val="00362D43"/>
    <w:rsid w:val="00365AC0"/>
    <w:rsid w:val="00374ACB"/>
    <w:rsid w:val="00374C4D"/>
    <w:rsid w:val="00375B89"/>
    <w:rsid w:val="00377EF9"/>
    <w:rsid w:val="00387C59"/>
    <w:rsid w:val="003922B5"/>
    <w:rsid w:val="00397153"/>
    <w:rsid w:val="00397DCA"/>
    <w:rsid w:val="00397F07"/>
    <w:rsid w:val="003B0EC4"/>
    <w:rsid w:val="003B674B"/>
    <w:rsid w:val="003B6FF3"/>
    <w:rsid w:val="003B7DCE"/>
    <w:rsid w:val="003C38C9"/>
    <w:rsid w:val="003C3918"/>
    <w:rsid w:val="003D2C2D"/>
    <w:rsid w:val="003D758F"/>
    <w:rsid w:val="003E4A7B"/>
    <w:rsid w:val="003F45FA"/>
    <w:rsid w:val="0040132D"/>
    <w:rsid w:val="00407F5E"/>
    <w:rsid w:val="0041042F"/>
    <w:rsid w:val="00410A3A"/>
    <w:rsid w:val="00412023"/>
    <w:rsid w:val="00412D5C"/>
    <w:rsid w:val="004168D2"/>
    <w:rsid w:val="00416FCE"/>
    <w:rsid w:val="00423ED9"/>
    <w:rsid w:val="00431C67"/>
    <w:rsid w:val="00435713"/>
    <w:rsid w:val="004440B9"/>
    <w:rsid w:val="00446240"/>
    <w:rsid w:val="00471605"/>
    <w:rsid w:val="004718F9"/>
    <w:rsid w:val="00474DC4"/>
    <w:rsid w:val="004814DF"/>
    <w:rsid w:val="00482456"/>
    <w:rsid w:val="004832F9"/>
    <w:rsid w:val="00483C65"/>
    <w:rsid w:val="00487EF6"/>
    <w:rsid w:val="00496A2D"/>
    <w:rsid w:val="004A1239"/>
    <w:rsid w:val="004A70D9"/>
    <w:rsid w:val="004A755C"/>
    <w:rsid w:val="004C23AA"/>
    <w:rsid w:val="004C28A0"/>
    <w:rsid w:val="004C35CD"/>
    <w:rsid w:val="004C4221"/>
    <w:rsid w:val="004C4741"/>
    <w:rsid w:val="004C57B5"/>
    <w:rsid w:val="004D07B6"/>
    <w:rsid w:val="004D27AE"/>
    <w:rsid w:val="004D4CF2"/>
    <w:rsid w:val="004D62A1"/>
    <w:rsid w:val="004E0C4C"/>
    <w:rsid w:val="004E12D9"/>
    <w:rsid w:val="004F5C45"/>
    <w:rsid w:val="00506DD1"/>
    <w:rsid w:val="00507243"/>
    <w:rsid w:val="0050728B"/>
    <w:rsid w:val="005108B3"/>
    <w:rsid w:val="00520A19"/>
    <w:rsid w:val="00524574"/>
    <w:rsid w:val="00525D8A"/>
    <w:rsid w:val="00526061"/>
    <w:rsid w:val="0052699E"/>
    <w:rsid w:val="00530629"/>
    <w:rsid w:val="00531519"/>
    <w:rsid w:val="005341F5"/>
    <w:rsid w:val="00536F75"/>
    <w:rsid w:val="00537E72"/>
    <w:rsid w:val="0054139A"/>
    <w:rsid w:val="00541B94"/>
    <w:rsid w:val="00543E12"/>
    <w:rsid w:val="00546A62"/>
    <w:rsid w:val="005509EC"/>
    <w:rsid w:val="00553584"/>
    <w:rsid w:val="00554D0A"/>
    <w:rsid w:val="0056077A"/>
    <w:rsid w:val="00565190"/>
    <w:rsid w:val="00566F43"/>
    <w:rsid w:val="00567569"/>
    <w:rsid w:val="0057324D"/>
    <w:rsid w:val="00577F3A"/>
    <w:rsid w:val="00581F86"/>
    <w:rsid w:val="00587282"/>
    <w:rsid w:val="005875AC"/>
    <w:rsid w:val="0059754B"/>
    <w:rsid w:val="005A66A9"/>
    <w:rsid w:val="005B040F"/>
    <w:rsid w:val="005B3049"/>
    <w:rsid w:val="005C58C5"/>
    <w:rsid w:val="005D40D6"/>
    <w:rsid w:val="005E15D2"/>
    <w:rsid w:val="005F46F4"/>
    <w:rsid w:val="005F60CF"/>
    <w:rsid w:val="006015FA"/>
    <w:rsid w:val="00606E84"/>
    <w:rsid w:val="00610F35"/>
    <w:rsid w:val="006143EF"/>
    <w:rsid w:val="0061498B"/>
    <w:rsid w:val="006244F2"/>
    <w:rsid w:val="00624F6A"/>
    <w:rsid w:val="00626059"/>
    <w:rsid w:val="0063042E"/>
    <w:rsid w:val="00630C66"/>
    <w:rsid w:val="00634B10"/>
    <w:rsid w:val="006440A0"/>
    <w:rsid w:val="006466BE"/>
    <w:rsid w:val="00646B88"/>
    <w:rsid w:val="00650839"/>
    <w:rsid w:val="00652029"/>
    <w:rsid w:val="00665622"/>
    <w:rsid w:val="00666EE1"/>
    <w:rsid w:val="006670DD"/>
    <w:rsid w:val="006822EF"/>
    <w:rsid w:val="00686770"/>
    <w:rsid w:val="006960CD"/>
    <w:rsid w:val="006A055B"/>
    <w:rsid w:val="006A0607"/>
    <w:rsid w:val="006A31F6"/>
    <w:rsid w:val="006B33F8"/>
    <w:rsid w:val="006B4D58"/>
    <w:rsid w:val="006C0733"/>
    <w:rsid w:val="006C4B88"/>
    <w:rsid w:val="006C64EA"/>
    <w:rsid w:val="006C6BD0"/>
    <w:rsid w:val="006D0F88"/>
    <w:rsid w:val="006E0ADC"/>
    <w:rsid w:val="006E44A4"/>
    <w:rsid w:val="006E5045"/>
    <w:rsid w:val="006E6693"/>
    <w:rsid w:val="006F0DDC"/>
    <w:rsid w:val="006F607A"/>
    <w:rsid w:val="00703B51"/>
    <w:rsid w:val="0070465D"/>
    <w:rsid w:val="007053C7"/>
    <w:rsid w:val="007118C4"/>
    <w:rsid w:val="00711FD3"/>
    <w:rsid w:val="00717F38"/>
    <w:rsid w:val="00722480"/>
    <w:rsid w:val="00722E04"/>
    <w:rsid w:val="00723C2B"/>
    <w:rsid w:val="007324DD"/>
    <w:rsid w:val="00732D3C"/>
    <w:rsid w:val="00740594"/>
    <w:rsid w:val="0074133C"/>
    <w:rsid w:val="007439A2"/>
    <w:rsid w:val="007448C5"/>
    <w:rsid w:val="00757B24"/>
    <w:rsid w:val="0076626C"/>
    <w:rsid w:val="00766D29"/>
    <w:rsid w:val="00771413"/>
    <w:rsid w:val="0077190D"/>
    <w:rsid w:val="00773224"/>
    <w:rsid w:val="00773C01"/>
    <w:rsid w:val="00776B9D"/>
    <w:rsid w:val="00777B1C"/>
    <w:rsid w:val="00784F6A"/>
    <w:rsid w:val="007908CD"/>
    <w:rsid w:val="00796520"/>
    <w:rsid w:val="007966A9"/>
    <w:rsid w:val="007A0A16"/>
    <w:rsid w:val="007A14BF"/>
    <w:rsid w:val="007A3EEC"/>
    <w:rsid w:val="007A7C94"/>
    <w:rsid w:val="007B4046"/>
    <w:rsid w:val="007B58EF"/>
    <w:rsid w:val="007C1622"/>
    <w:rsid w:val="007C6757"/>
    <w:rsid w:val="007D460B"/>
    <w:rsid w:val="007E38F2"/>
    <w:rsid w:val="007E5B4B"/>
    <w:rsid w:val="007E6924"/>
    <w:rsid w:val="007F06D0"/>
    <w:rsid w:val="007F0DF2"/>
    <w:rsid w:val="0080507D"/>
    <w:rsid w:val="00825FB3"/>
    <w:rsid w:val="00836D3C"/>
    <w:rsid w:val="0084601B"/>
    <w:rsid w:val="0085533F"/>
    <w:rsid w:val="00855824"/>
    <w:rsid w:val="008667DB"/>
    <w:rsid w:val="008715FF"/>
    <w:rsid w:val="00874344"/>
    <w:rsid w:val="00874AAF"/>
    <w:rsid w:val="0087568C"/>
    <w:rsid w:val="00884762"/>
    <w:rsid w:val="008868CB"/>
    <w:rsid w:val="008911AF"/>
    <w:rsid w:val="00896AC1"/>
    <w:rsid w:val="008A19E5"/>
    <w:rsid w:val="008A38A9"/>
    <w:rsid w:val="008A6591"/>
    <w:rsid w:val="008B65E9"/>
    <w:rsid w:val="008C054C"/>
    <w:rsid w:val="008C5317"/>
    <w:rsid w:val="008D29CE"/>
    <w:rsid w:val="008D570C"/>
    <w:rsid w:val="008D77F7"/>
    <w:rsid w:val="008E6183"/>
    <w:rsid w:val="008F36FC"/>
    <w:rsid w:val="008F41B5"/>
    <w:rsid w:val="008F66AB"/>
    <w:rsid w:val="008F6809"/>
    <w:rsid w:val="008F7CE7"/>
    <w:rsid w:val="00902B03"/>
    <w:rsid w:val="00905676"/>
    <w:rsid w:val="00905738"/>
    <w:rsid w:val="00912369"/>
    <w:rsid w:val="00912D7D"/>
    <w:rsid w:val="00915626"/>
    <w:rsid w:val="00916CB6"/>
    <w:rsid w:val="00925DC6"/>
    <w:rsid w:val="0093031B"/>
    <w:rsid w:val="00940A7D"/>
    <w:rsid w:val="009411F6"/>
    <w:rsid w:val="00943AE6"/>
    <w:rsid w:val="00952A98"/>
    <w:rsid w:val="00970C3E"/>
    <w:rsid w:val="0097506C"/>
    <w:rsid w:val="00975502"/>
    <w:rsid w:val="00977C0C"/>
    <w:rsid w:val="00987B93"/>
    <w:rsid w:val="0099515F"/>
    <w:rsid w:val="009A1F4E"/>
    <w:rsid w:val="009A3644"/>
    <w:rsid w:val="009A443B"/>
    <w:rsid w:val="009A62F3"/>
    <w:rsid w:val="009A66BF"/>
    <w:rsid w:val="009B1142"/>
    <w:rsid w:val="009B7857"/>
    <w:rsid w:val="009C0B94"/>
    <w:rsid w:val="009C1E53"/>
    <w:rsid w:val="009C48EA"/>
    <w:rsid w:val="009C597A"/>
    <w:rsid w:val="009C6783"/>
    <w:rsid w:val="009C7A0C"/>
    <w:rsid w:val="009D070A"/>
    <w:rsid w:val="009E24F3"/>
    <w:rsid w:val="009E575A"/>
    <w:rsid w:val="009E5B29"/>
    <w:rsid w:val="009F540D"/>
    <w:rsid w:val="009F55DC"/>
    <w:rsid w:val="009F5B3F"/>
    <w:rsid w:val="00A01042"/>
    <w:rsid w:val="00A05528"/>
    <w:rsid w:val="00A07804"/>
    <w:rsid w:val="00A158E6"/>
    <w:rsid w:val="00A15E15"/>
    <w:rsid w:val="00A21509"/>
    <w:rsid w:val="00A22C3A"/>
    <w:rsid w:val="00A2368C"/>
    <w:rsid w:val="00A26469"/>
    <w:rsid w:val="00A27139"/>
    <w:rsid w:val="00A314BF"/>
    <w:rsid w:val="00A314C6"/>
    <w:rsid w:val="00A32B7B"/>
    <w:rsid w:val="00A34398"/>
    <w:rsid w:val="00A35005"/>
    <w:rsid w:val="00A44482"/>
    <w:rsid w:val="00A45CA4"/>
    <w:rsid w:val="00A46231"/>
    <w:rsid w:val="00A469B3"/>
    <w:rsid w:val="00A4729A"/>
    <w:rsid w:val="00A52B48"/>
    <w:rsid w:val="00A608B9"/>
    <w:rsid w:val="00A7559F"/>
    <w:rsid w:val="00A75850"/>
    <w:rsid w:val="00A76335"/>
    <w:rsid w:val="00A80F1C"/>
    <w:rsid w:val="00A86807"/>
    <w:rsid w:val="00A90875"/>
    <w:rsid w:val="00A92B7E"/>
    <w:rsid w:val="00A9763E"/>
    <w:rsid w:val="00AA216F"/>
    <w:rsid w:val="00AB024D"/>
    <w:rsid w:val="00AB5FDA"/>
    <w:rsid w:val="00AB63E2"/>
    <w:rsid w:val="00AB6D14"/>
    <w:rsid w:val="00AC1C7D"/>
    <w:rsid w:val="00AC42C2"/>
    <w:rsid w:val="00AC4B35"/>
    <w:rsid w:val="00AC62FA"/>
    <w:rsid w:val="00AC737B"/>
    <w:rsid w:val="00AC7640"/>
    <w:rsid w:val="00AD0210"/>
    <w:rsid w:val="00AD4432"/>
    <w:rsid w:val="00AE3662"/>
    <w:rsid w:val="00AF2AF7"/>
    <w:rsid w:val="00B00030"/>
    <w:rsid w:val="00B00E46"/>
    <w:rsid w:val="00B03345"/>
    <w:rsid w:val="00B067F3"/>
    <w:rsid w:val="00B069D1"/>
    <w:rsid w:val="00B168B1"/>
    <w:rsid w:val="00B338C3"/>
    <w:rsid w:val="00B35F0B"/>
    <w:rsid w:val="00B41571"/>
    <w:rsid w:val="00B43B29"/>
    <w:rsid w:val="00B453E2"/>
    <w:rsid w:val="00B47102"/>
    <w:rsid w:val="00B559EF"/>
    <w:rsid w:val="00B730B8"/>
    <w:rsid w:val="00B739F5"/>
    <w:rsid w:val="00B7527A"/>
    <w:rsid w:val="00B777F9"/>
    <w:rsid w:val="00B805D1"/>
    <w:rsid w:val="00B837B5"/>
    <w:rsid w:val="00B84CDA"/>
    <w:rsid w:val="00BA063D"/>
    <w:rsid w:val="00BA097F"/>
    <w:rsid w:val="00BA0B7F"/>
    <w:rsid w:val="00BA6EB0"/>
    <w:rsid w:val="00BC37EA"/>
    <w:rsid w:val="00BC3E29"/>
    <w:rsid w:val="00BC5C3D"/>
    <w:rsid w:val="00BC6438"/>
    <w:rsid w:val="00BC6B74"/>
    <w:rsid w:val="00BD7014"/>
    <w:rsid w:val="00BE01CA"/>
    <w:rsid w:val="00BE333D"/>
    <w:rsid w:val="00BE4B3E"/>
    <w:rsid w:val="00BF1E22"/>
    <w:rsid w:val="00C00CD4"/>
    <w:rsid w:val="00C01F56"/>
    <w:rsid w:val="00C02129"/>
    <w:rsid w:val="00C028B0"/>
    <w:rsid w:val="00C07A07"/>
    <w:rsid w:val="00C1023B"/>
    <w:rsid w:val="00C173FB"/>
    <w:rsid w:val="00C21665"/>
    <w:rsid w:val="00C21D6A"/>
    <w:rsid w:val="00C2708C"/>
    <w:rsid w:val="00C30737"/>
    <w:rsid w:val="00C34D96"/>
    <w:rsid w:val="00C40A78"/>
    <w:rsid w:val="00C41AAD"/>
    <w:rsid w:val="00C45E76"/>
    <w:rsid w:val="00C51875"/>
    <w:rsid w:val="00C520FA"/>
    <w:rsid w:val="00C52627"/>
    <w:rsid w:val="00C603D6"/>
    <w:rsid w:val="00C612C8"/>
    <w:rsid w:val="00C61C80"/>
    <w:rsid w:val="00C768E6"/>
    <w:rsid w:val="00C861ED"/>
    <w:rsid w:val="00C94A24"/>
    <w:rsid w:val="00C96BDE"/>
    <w:rsid w:val="00CA23F9"/>
    <w:rsid w:val="00CA6FCB"/>
    <w:rsid w:val="00CB739A"/>
    <w:rsid w:val="00CC0AB9"/>
    <w:rsid w:val="00CC484D"/>
    <w:rsid w:val="00CE0E89"/>
    <w:rsid w:val="00CE10F6"/>
    <w:rsid w:val="00CE19E8"/>
    <w:rsid w:val="00CE2BE6"/>
    <w:rsid w:val="00CE3D69"/>
    <w:rsid w:val="00CE45A0"/>
    <w:rsid w:val="00CE58FD"/>
    <w:rsid w:val="00CF0DE0"/>
    <w:rsid w:val="00CF35D0"/>
    <w:rsid w:val="00D00960"/>
    <w:rsid w:val="00D103DD"/>
    <w:rsid w:val="00D10D64"/>
    <w:rsid w:val="00D11ECE"/>
    <w:rsid w:val="00D14117"/>
    <w:rsid w:val="00D1585A"/>
    <w:rsid w:val="00D31F25"/>
    <w:rsid w:val="00D33175"/>
    <w:rsid w:val="00D33F7E"/>
    <w:rsid w:val="00D36050"/>
    <w:rsid w:val="00D408BC"/>
    <w:rsid w:val="00D42A2C"/>
    <w:rsid w:val="00D4571F"/>
    <w:rsid w:val="00D47D18"/>
    <w:rsid w:val="00D50C05"/>
    <w:rsid w:val="00D53DD2"/>
    <w:rsid w:val="00D54AB5"/>
    <w:rsid w:val="00D55FF0"/>
    <w:rsid w:val="00D57448"/>
    <w:rsid w:val="00D6129A"/>
    <w:rsid w:val="00D62DAC"/>
    <w:rsid w:val="00D6386D"/>
    <w:rsid w:val="00D64D70"/>
    <w:rsid w:val="00D65371"/>
    <w:rsid w:val="00D706A0"/>
    <w:rsid w:val="00D7344D"/>
    <w:rsid w:val="00D752A2"/>
    <w:rsid w:val="00D75CCA"/>
    <w:rsid w:val="00D7641F"/>
    <w:rsid w:val="00D77BAF"/>
    <w:rsid w:val="00D77DE2"/>
    <w:rsid w:val="00D90132"/>
    <w:rsid w:val="00D90768"/>
    <w:rsid w:val="00D915B4"/>
    <w:rsid w:val="00D92BCF"/>
    <w:rsid w:val="00D9427F"/>
    <w:rsid w:val="00DA6A85"/>
    <w:rsid w:val="00DB0870"/>
    <w:rsid w:val="00DC40ED"/>
    <w:rsid w:val="00DC5721"/>
    <w:rsid w:val="00DD5BE7"/>
    <w:rsid w:val="00DE0069"/>
    <w:rsid w:val="00DE3843"/>
    <w:rsid w:val="00E0372A"/>
    <w:rsid w:val="00E06936"/>
    <w:rsid w:val="00E06AAC"/>
    <w:rsid w:val="00E11386"/>
    <w:rsid w:val="00E25301"/>
    <w:rsid w:val="00E30F05"/>
    <w:rsid w:val="00E377FE"/>
    <w:rsid w:val="00E56CB5"/>
    <w:rsid w:val="00E61BEE"/>
    <w:rsid w:val="00E63FDD"/>
    <w:rsid w:val="00E6749B"/>
    <w:rsid w:val="00E81062"/>
    <w:rsid w:val="00E87E06"/>
    <w:rsid w:val="00E903E7"/>
    <w:rsid w:val="00E9090D"/>
    <w:rsid w:val="00E92392"/>
    <w:rsid w:val="00E93A03"/>
    <w:rsid w:val="00EA47F0"/>
    <w:rsid w:val="00EA63BD"/>
    <w:rsid w:val="00EB039F"/>
    <w:rsid w:val="00EE0DB3"/>
    <w:rsid w:val="00EE21EB"/>
    <w:rsid w:val="00EE46D0"/>
    <w:rsid w:val="00EE5506"/>
    <w:rsid w:val="00EE61CC"/>
    <w:rsid w:val="00EE75F0"/>
    <w:rsid w:val="00EF1C1A"/>
    <w:rsid w:val="00EF1F80"/>
    <w:rsid w:val="00EF233F"/>
    <w:rsid w:val="00EF42EA"/>
    <w:rsid w:val="00EF4E32"/>
    <w:rsid w:val="00F0518E"/>
    <w:rsid w:val="00F06F44"/>
    <w:rsid w:val="00F10AFD"/>
    <w:rsid w:val="00F12504"/>
    <w:rsid w:val="00F12F7D"/>
    <w:rsid w:val="00F146FF"/>
    <w:rsid w:val="00F15276"/>
    <w:rsid w:val="00F23214"/>
    <w:rsid w:val="00F25DBC"/>
    <w:rsid w:val="00F37759"/>
    <w:rsid w:val="00F37970"/>
    <w:rsid w:val="00F41DE8"/>
    <w:rsid w:val="00F44EA3"/>
    <w:rsid w:val="00F46A3B"/>
    <w:rsid w:val="00F474E0"/>
    <w:rsid w:val="00F478C2"/>
    <w:rsid w:val="00F5205C"/>
    <w:rsid w:val="00F55BE3"/>
    <w:rsid w:val="00F628D1"/>
    <w:rsid w:val="00F725A7"/>
    <w:rsid w:val="00F7792E"/>
    <w:rsid w:val="00F8479A"/>
    <w:rsid w:val="00F84828"/>
    <w:rsid w:val="00F85951"/>
    <w:rsid w:val="00FA1DF9"/>
    <w:rsid w:val="00FA2595"/>
    <w:rsid w:val="00FA59FA"/>
    <w:rsid w:val="00FB32F2"/>
    <w:rsid w:val="00FB67D9"/>
    <w:rsid w:val="00FC3A4F"/>
    <w:rsid w:val="00FC3E6C"/>
    <w:rsid w:val="00FD2BE0"/>
    <w:rsid w:val="00FD335C"/>
    <w:rsid w:val="00FD379E"/>
    <w:rsid w:val="00FD7128"/>
    <w:rsid w:val="00FD7D59"/>
    <w:rsid w:val="00FE15C7"/>
    <w:rsid w:val="00FE476E"/>
    <w:rsid w:val="00FE766E"/>
    <w:rsid w:val="00FF111E"/>
    <w:rsid w:val="00FF13CA"/>
    <w:rsid w:val="00FF236D"/>
    <w:rsid w:val="7D805F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2"/>
      <w:szCs w:val="20"/>
      <w:lang w:val="en-US" w:eastAsia="en-US" w:bidi="ar-SA"/>
    </w:rPr>
  </w:style>
  <w:style w:type="paragraph" w:styleId="2">
    <w:name w:val="heading 1"/>
    <w:basedOn w:val="1"/>
    <w:next w:val="1"/>
    <w:link w:val="26"/>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5"/>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3"/>
    <w:unhideWhenUsed/>
    <w:qFormat/>
    <w:uiPriority w:val="9"/>
    <w:pPr>
      <w:keepNext/>
      <w:keepLines/>
      <w:spacing w:before="4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24"/>
    <w:unhideWhenUsed/>
    <w:qFormat/>
    <w:uiPriority w:val="9"/>
    <w:pPr>
      <w:keepNext/>
      <w:keepLines/>
      <w:spacing w:before="40"/>
      <w:outlineLvl w:val="3"/>
    </w:pPr>
    <w:rPr>
      <w:rFonts w:asciiTheme="majorHAnsi" w:hAnsiTheme="majorHAnsi" w:eastAsiaTheme="majorEastAsia" w:cstheme="majorBidi"/>
      <w:i/>
      <w:iCs/>
      <w:color w:val="2F5597" w:themeColor="accent1" w:themeShade="BF"/>
    </w:rPr>
  </w:style>
  <w:style w:type="paragraph" w:styleId="6">
    <w:name w:val="heading 5"/>
    <w:basedOn w:val="1"/>
    <w:next w:val="1"/>
    <w:link w:val="28"/>
    <w:autoRedefine/>
    <w:unhideWhenUsed/>
    <w:qFormat/>
    <w:uiPriority w:val="9"/>
    <w:pPr>
      <w:keepNext/>
      <w:keepLines/>
      <w:spacing w:before="40"/>
      <w:outlineLvl w:val="4"/>
    </w:pPr>
    <w:rPr>
      <w:rFonts w:asciiTheme="majorHAnsi" w:hAnsiTheme="majorHAnsi" w:eastAsiaTheme="majorEastAsia" w:cstheme="majorBidi"/>
      <w:b/>
      <w:u w:val="single"/>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27"/>
    <w:qFormat/>
    <w:uiPriority w:val="0"/>
    <w:pPr>
      <w:spacing w:after="120" w:line="220" w:lineRule="exact"/>
    </w:pPr>
  </w:style>
  <w:style w:type="character" w:styleId="10">
    <w:name w:val="Emphasis"/>
    <w:basedOn w:val="7"/>
    <w:qFormat/>
    <w:uiPriority w:val="20"/>
    <w:rPr>
      <w:i/>
      <w:iCs/>
    </w:rPr>
  </w:style>
  <w:style w:type="paragraph" w:styleId="11">
    <w:name w:val="footer"/>
    <w:basedOn w:val="1"/>
    <w:link w:val="37"/>
    <w:unhideWhenUsed/>
    <w:qFormat/>
    <w:uiPriority w:val="99"/>
    <w:pPr>
      <w:tabs>
        <w:tab w:val="center" w:pos="4680"/>
        <w:tab w:val="right" w:pos="9360"/>
      </w:tabs>
    </w:pPr>
  </w:style>
  <w:style w:type="paragraph" w:styleId="12">
    <w:name w:val="header"/>
    <w:basedOn w:val="1"/>
    <w:link w:val="36"/>
    <w:unhideWhenUsed/>
    <w:qFormat/>
    <w:uiPriority w:val="99"/>
    <w:pPr>
      <w:tabs>
        <w:tab w:val="center" w:pos="4680"/>
        <w:tab w:val="right" w:pos="9360"/>
      </w:tabs>
    </w:pPr>
  </w:style>
  <w:style w:type="character" w:styleId="13">
    <w:name w:val="Hyperlink"/>
    <w:basedOn w:val="7"/>
    <w:unhideWhenUsed/>
    <w:qFormat/>
    <w:uiPriority w:val="99"/>
    <w:rPr>
      <w:color w:val="0563C1" w:themeColor="hyperlink"/>
      <w:u w:val="single"/>
      <w14:textFill>
        <w14:solidFill>
          <w14:schemeClr w14:val="hlink"/>
        </w14:solidFill>
      </w14:textFill>
    </w:rPr>
  </w:style>
  <w:style w:type="paragraph" w:styleId="14">
    <w:name w:val="List"/>
    <w:basedOn w:val="1"/>
    <w:semiHidden/>
    <w:qFormat/>
    <w:uiPriority w:val="0"/>
    <w:pPr>
      <w:spacing w:after="120" w:line="240" w:lineRule="exact"/>
      <w:ind w:left="1353" w:hanging="806"/>
    </w:pPr>
    <w:rPr>
      <w:sz w:val="24"/>
    </w:rPr>
  </w:style>
  <w:style w:type="paragraph" w:styleId="15">
    <w:name w:val="Normal (Web)"/>
    <w:basedOn w:val="1"/>
    <w:semiHidden/>
    <w:unhideWhenUsed/>
    <w:qFormat/>
    <w:uiPriority w:val="99"/>
    <w:pPr>
      <w:spacing w:before="100" w:beforeAutospacing="1" w:after="100" w:afterAutospacing="1"/>
    </w:pPr>
    <w:rPr>
      <w:sz w:val="24"/>
      <w:szCs w:val="24"/>
    </w:rPr>
  </w:style>
  <w:style w:type="table" w:styleId="16">
    <w:name w:val="Table Grid"/>
    <w:basedOn w:val="8"/>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link w:val="32"/>
    <w:qFormat/>
    <w:uiPriority w:val="0"/>
    <w:pPr>
      <w:spacing w:before="220"/>
      <w:jc w:val="right"/>
    </w:pPr>
    <w:rPr>
      <w:rFonts w:ascii="Arial" w:hAnsi="Arial" w:eastAsia="MS Mincho" w:cs="Arial"/>
      <w:b/>
      <w:sz w:val="52"/>
      <w:szCs w:val="52"/>
    </w:rPr>
  </w:style>
  <w:style w:type="paragraph" w:styleId="18">
    <w:name w:val="toc 1"/>
    <w:basedOn w:val="1"/>
    <w:next w:val="1"/>
    <w:autoRedefine/>
    <w:unhideWhenUsed/>
    <w:qFormat/>
    <w:uiPriority w:val="39"/>
    <w:pPr>
      <w:spacing w:after="100"/>
    </w:pPr>
  </w:style>
  <w:style w:type="paragraph" w:styleId="19">
    <w:name w:val="toc 2"/>
    <w:basedOn w:val="1"/>
    <w:next w:val="1"/>
    <w:autoRedefine/>
    <w:unhideWhenUsed/>
    <w:qFormat/>
    <w:uiPriority w:val="39"/>
    <w:pPr>
      <w:spacing w:after="100"/>
      <w:ind w:left="220"/>
    </w:pPr>
  </w:style>
  <w:style w:type="paragraph" w:styleId="20">
    <w:name w:val="toc 3"/>
    <w:basedOn w:val="1"/>
    <w:next w:val="1"/>
    <w:autoRedefine/>
    <w:unhideWhenUsed/>
    <w:qFormat/>
    <w:uiPriority w:val="39"/>
    <w:pPr>
      <w:spacing w:after="100"/>
      <w:ind w:left="440"/>
    </w:pPr>
  </w:style>
  <w:style w:type="paragraph" w:styleId="21">
    <w:name w:val="List Paragraph"/>
    <w:basedOn w:val="1"/>
    <w:link w:val="39"/>
    <w:qFormat/>
    <w:uiPriority w:val="34"/>
    <w:pPr>
      <w:ind w:left="720"/>
      <w:contextualSpacing/>
    </w:pPr>
  </w:style>
  <w:style w:type="table" w:customStyle="1" w:styleId="22">
    <w:name w:val="Grid Table Light"/>
    <w:basedOn w:val="8"/>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23">
    <w:name w:val="Heading 3 Char"/>
    <w:basedOn w:val="7"/>
    <w:link w:val="4"/>
    <w:qFormat/>
    <w:uiPriority w:val="9"/>
    <w:rPr>
      <w:rFonts w:asciiTheme="majorHAnsi" w:hAnsiTheme="majorHAnsi" w:eastAsiaTheme="majorEastAsia" w:cstheme="majorBidi"/>
      <w:color w:val="203864" w:themeColor="accent1" w:themeShade="80"/>
      <w:sz w:val="24"/>
      <w:szCs w:val="24"/>
    </w:rPr>
  </w:style>
  <w:style w:type="character" w:customStyle="1" w:styleId="24">
    <w:name w:val="Heading 4 Char"/>
    <w:basedOn w:val="7"/>
    <w:link w:val="5"/>
    <w:qFormat/>
    <w:uiPriority w:val="9"/>
    <w:rPr>
      <w:rFonts w:asciiTheme="majorHAnsi" w:hAnsiTheme="majorHAnsi" w:eastAsiaTheme="majorEastAsia" w:cstheme="majorBidi"/>
      <w:i/>
      <w:iCs/>
      <w:color w:val="2F5597" w:themeColor="accent1" w:themeShade="BF"/>
      <w:szCs w:val="20"/>
    </w:rPr>
  </w:style>
  <w:style w:type="character" w:customStyle="1" w:styleId="25">
    <w:name w:val="Heading 2 Char"/>
    <w:basedOn w:val="7"/>
    <w:link w:val="3"/>
    <w:qFormat/>
    <w:uiPriority w:val="9"/>
    <w:rPr>
      <w:rFonts w:asciiTheme="majorHAnsi" w:hAnsiTheme="majorHAnsi" w:eastAsiaTheme="majorEastAsia" w:cstheme="majorBidi"/>
      <w:color w:val="2F5597" w:themeColor="accent1" w:themeShade="BF"/>
      <w:sz w:val="26"/>
      <w:szCs w:val="26"/>
    </w:rPr>
  </w:style>
  <w:style w:type="character" w:customStyle="1" w:styleId="26">
    <w:name w:val="Heading 1 Char"/>
    <w:basedOn w:val="7"/>
    <w:link w:val="2"/>
    <w:qFormat/>
    <w:uiPriority w:val="9"/>
    <w:rPr>
      <w:rFonts w:asciiTheme="majorHAnsi" w:hAnsiTheme="majorHAnsi" w:eastAsiaTheme="majorEastAsia" w:cstheme="majorBidi"/>
      <w:color w:val="2F5597" w:themeColor="accent1" w:themeShade="BF"/>
      <w:sz w:val="32"/>
      <w:szCs w:val="32"/>
    </w:rPr>
  </w:style>
  <w:style w:type="character" w:customStyle="1" w:styleId="27">
    <w:name w:val="Body Text Char"/>
    <w:basedOn w:val="7"/>
    <w:link w:val="9"/>
    <w:qFormat/>
    <w:uiPriority w:val="0"/>
    <w:rPr>
      <w:rFonts w:ascii="Times New Roman" w:hAnsi="Times New Roman" w:eastAsia="Times New Roman" w:cs="Times New Roman"/>
      <w:szCs w:val="20"/>
    </w:rPr>
  </w:style>
  <w:style w:type="character" w:customStyle="1" w:styleId="28">
    <w:name w:val="Heading 5 Char"/>
    <w:basedOn w:val="7"/>
    <w:link w:val="6"/>
    <w:qFormat/>
    <w:uiPriority w:val="9"/>
    <w:rPr>
      <w:rFonts w:asciiTheme="majorHAnsi" w:hAnsiTheme="majorHAnsi" w:eastAsiaTheme="majorEastAsia" w:cstheme="majorBidi"/>
      <w:b/>
      <w:szCs w:val="20"/>
      <w:u w:val="single"/>
    </w:rPr>
  </w:style>
  <w:style w:type="paragraph" w:customStyle="1" w:styleId="29">
    <w:name w:val="Paragraph"/>
    <w:basedOn w:val="1"/>
    <w:link w:val="30"/>
    <w:qFormat/>
    <w:uiPriority w:val="0"/>
    <w:pPr>
      <w:spacing w:before="220"/>
      <w:ind w:left="1080"/>
      <w:jc w:val="both"/>
    </w:pPr>
    <w:rPr>
      <w:rFonts w:eastAsia="MS Mincho"/>
      <w:szCs w:val="24"/>
    </w:rPr>
  </w:style>
  <w:style w:type="character" w:customStyle="1" w:styleId="30">
    <w:name w:val="Paragraph Char"/>
    <w:basedOn w:val="7"/>
    <w:link w:val="29"/>
    <w:qFormat/>
    <w:uiPriority w:val="0"/>
    <w:rPr>
      <w:rFonts w:ascii="Times New Roman" w:hAnsi="Times New Roman" w:eastAsia="MS Mincho" w:cs="Times New Roman"/>
      <w:szCs w:val="24"/>
    </w:rPr>
  </w:style>
  <w:style w:type="paragraph" w:customStyle="1" w:styleId="31">
    <w:name w:val="template"/>
    <w:basedOn w:val="1"/>
    <w:qFormat/>
    <w:uiPriority w:val="0"/>
    <w:pPr>
      <w:spacing w:line="240" w:lineRule="exact"/>
    </w:pPr>
    <w:rPr>
      <w:rFonts w:ascii="Arial" w:hAnsi="Arial"/>
      <w:i/>
    </w:rPr>
  </w:style>
  <w:style w:type="character" w:customStyle="1" w:styleId="32">
    <w:name w:val="Title Char"/>
    <w:basedOn w:val="7"/>
    <w:link w:val="17"/>
    <w:qFormat/>
    <w:uiPriority w:val="0"/>
    <w:rPr>
      <w:rFonts w:ascii="Arial" w:hAnsi="Arial" w:eastAsia="MS Mincho" w:cs="Arial"/>
      <w:b/>
      <w:sz w:val="52"/>
      <w:szCs w:val="52"/>
    </w:rPr>
  </w:style>
  <w:style w:type="paragraph" w:customStyle="1" w:styleId="33">
    <w:name w:val="Bang"/>
    <w:basedOn w:val="1"/>
    <w:qFormat/>
    <w:uiPriority w:val="0"/>
    <w:pPr>
      <w:spacing w:before="80" w:after="80"/>
    </w:pPr>
    <w:rPr>
      <w:rFonts w:ascii="Tahoma" w:hAnsi="Tahoma" w:cs="Tahoma"/>
      <w:sz w:val="18"/>
      <w:szCs w:val="18"/>
    </w:rPr>
  </w:style>
  <w:style w:type="paragraph" w:customStyle="1" w:styleId="34">
    <w:name w:val="Heading Lv1"/>
    <w:basedOn w:val="1"/>
    <w:qFormat/>
    <w:uiPriority w:val="0"/>
    <w:pPr>
      <w:widowControl w:val="0"/>
      <w:spacing w:before="120" w:after="60"/>
      <w:jc w:val="center"/>
    </w:pPr>
    <w:rPr>
      <w:rFonts w:ascii="Tahoma" w:hAnsi="Tahoma" w:cs="Tahoma"/>
      <w:b/>
      <w:snapToGrid w:val="0"/>
      <w:color w:val="6E2500"/>
      <w:sz w:val="20"/>
    </w:rPr>
  </w:style>
  <w:style w:type="paragraph" w:customStyle="1" w:styleId="35">
    <w:name w:val="TOC Heading"/>
    <w:basedOn w:val="2"/>
    <w:next w:val="1"/>
    <w:unhideWhenUsed/>
    <w:qFormat/>
    <w:uiPriority w:val="39"/>
    <w:pPr>
      <w:spacing w:line="259" w:lineRule="auto"/>
      <w:outlineLvl w:val="9"/>
    </w:pPr>
  </w:style>
  <w:style w:type="character" w:customStyle="1" w:styleId="36">
    <w:name w:val="Header Char"/>
    <w:basedOn w:val="7"/>
    <w:link w:val="12"/>
    <w:qFormat/>
    <w:uiPriority w:val="99"/>
    <w:rPr>
      <w:rFonts w:ascii="Times New Roman" w:hAnsi="Times New Roman" w:eastAsia="Times New Roman" w:cs="Times New Roman"/>
      <w:szCs w:val="20"/>
    </w:rPr>
  </w:style>
  <w:style w:type="character" w:customStyle="1" w:styleId="37">
    <w:name w:val="Footer Char"/>
    <w:basedOn w:val="7"/>
    <w:link w:val="11"/>
    <w:qFormat/>
    <w:uiPriority w:val="99"/>
    <w:rPr>
      <w:rFonts w:ascii="Times New Roman" w:hAnsi="Times New Roman" w:eastAsia="Times New Roman" w:cs="Times New Roman"/>
      <w:szCs w:val="20"/>
    </w:rPr>
  </w:style>
  <w:style w:type="table" w:customStyle="1" w:styleId="38">
    <w:name w:val="Kiểu2"/>
    <w:basedOn w:val="8"/>
    <w:qFormat/>
    <w:uiPriority w:val="99"/>
    <w:pPr>
      <w:spacing w:after="0" w:line="240" w:lineRule="auto"/>
    </w:pPr>
    <w:rPr>
      <w:rFonts w:ascii="Times New Roman" w:hAnsi="Times New Roman" w:eastAsiaTheme="minorEastAsia"/>
      <w:sz w:val="24"/>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rFonts w:ascii="Times New Roman" w:hAnsi="Times New Roman"/>
        <w:b w:val="0"/>
        <w:i w:val="0"/>
        <w:sz w:val="24"/>
        <w:u w:val="none"/>
      </w:rPr>
      <w:tcPr>
        <w:shd w:val="clear" w:color="auto" w:fill="B4C6E7" w:themeFill="accent1" w:themeFillTint="66"/>
      </w:tcPr>
    </w:tblStylePr>
  </w:style>
  <w:style w:type="character" w:customStyle="1" w:styleId="39">
    <w:name w:val="List Paragraph Char"/>
    <w:basedOn w:val="7"/>
    <w:link w:val="21"/>
    <w:qFormat/>
    <w:uiPriority w:val="34"/>
    <w:rPr>
      <w:rFonts w:ascii="Times New Roman" w:hAnsi="Times New Roman" w:eastAsia="Times New Roman" w:cs="Times New Roman"/>
      <w:szCs w:val="20"/>
    </w:rPr>
  </w:style>
  <w:style w:type="character" w:customStyle="1" w:styleId="40">
    <w:name w:val="Unresolved Mention"/>
    <w:basedOn w:val="7"/>
    <w:semiHidden/>
    <w:unhideWhenUsed/>
    <w:qFormat/>
    <w:uiPriority w:val="99"/>
    <w:rPr>
      <w:color w:val="605E5C"/>
      <w:shd w:val="clear" w:color="auto" w:fill="E1DFDD"/>
    </w:rPr>
  </w:style>
  <w:style w:type="paragraph" w:customStyle="1" w:styleId="41">
    <w:name w:val="Table Text"/>
    <w:basedOn w:val="1"/>
    <w:qFormat/>
    <w:uiPriority w:val="0"/>
    <w:pPr>
      <w:spacing w:before="40" w:after="40"/>
      <w:ind w:left="72" w:right="72"/>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7E9DD-9AB8-4B02-A153-64172F2C5012}">
  <ds:schemaRefs/>
</ds:datastoreItem>
</file>

<file path=docProps/app.xml><?xml version="1.0" encoding="utf-8"?>
<Properties xmlns="http://schemas.openxmlformats.org/officeDocument/2006/extended-properties" xmlns:vt="http://schemas.openxmlformats.org/officeDocument/2006/docPropsVTypes">
  <Template>Normal.dotm</Template>
  <Pages>8</Pages>
  <Words>2800</Words>
  <Characters>14299</Characters>
  <Lines>194</Lines>
  <Paragraphs>54</Paragraphs>
  <TotalTime>315</TotalTime>
  <ScaleCrop>false</ScaleCrop>
  <LinksUpToDate>false</LinksUpToDate>
  <CharactersWithSpaces>16801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2023-08-22T01:21:00Z</dcterms:created>
  <dc:creator>Kien Nguyen</dc:creator>
  <cp:lastModifiedBy>vopho</cp:lastModifiedBy>
  <dcterms:modified xsi:type="dcterms:W3CDTF">2026-07-11T03:55:28Z</dcterms:modified>
  <cp:revision>159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eyJoZGlkIjoiZTNmNGQwYWI2NTJlNjVkMDBiZDIzNTk4NmNlYWE3NWIifQ==</vt:lpwstr>
  </property>
  <property fmtid="{D5CDD505-2E9C-101B-9397-08002B2CF9AE}" pid="3" name="KSOProductBuildVer">
    <vt:lpwstr>1033-12.1.0.26880</vt:lpwstr>
  </property>
  <property fmtid="{D5CDD505-2E9C-101B-9397-08002B2CF9AE}" pid="4" name="ICV">
    <vt:lpwstr>99B0BBCF82F346A692716CE40DD3A61D_12</vt:lpwstr>
  </property>
</Properties>
</file>