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spacing w:before="520" w:after="120" w:line="276" w:lineRule="auto"/>
      </w:pPr>
      <w:r>
        <w:rPr>
          <w:rFonts w:ascii="Arial" w:hAnsi="Arial" w:cs="Arial"/>
          <w:b/>
          <w:bCs/>
          <w:color w:val="1F4E79"/>
          <w:sz w:val="30"/>
          <w:szCs w:val="30"/>
        </w:rPr>
        <w:t xml:space="preserve">Recruitment Management System (RMS)</w:t>
      </w:r>
    </w:p>
    <w:p>
      <w:pPr>
        <w:jc w:val="center"/>
        <w:spacing w:before="140" w:after="180" w:line="276" w:lineRule="auto"/>
      </w:pPr>
      <w:r>
        <w:rPr>
          <w:rFonts w:ascii="Arial" w:hAnsi="Arial" w:cs="Arial"/>
          <w:b/>
          <w:bCs/>
          <w:color w:val="1F4E79"/>
          <w:sz w:val="42"/>
          <w:szCs w:val="42"/>
        </w:rPr>
        <w:t xml:space="preserve">Use Case Report</w:t>
      </w:r>
    </w:p>
    <w:p>
      <w:pPr>
        <w:jc w:val="center"/>
        <w:spacing w:before="0" w:after="260" w:line="276" w:lineRule="auto"/>
      </w:pPr>
      <w:r>
        <w:rPr>
          <w:rFonts w:ascii="Arial" w:hAnsi="Arial" w:cs="Arial"/>
          <w:color w:val="555555"/>
          <w:sz w:val="22"/>
          <w:szCs w:val="22"/>
        </w:rPr>
        <w:t xml:space="preserve">Thiết kế lại phần Use Case dựa trên template RDS và use-case-specifications.md</w:t>
      </w:r>
    </w:p>
    <w:tbl>
      <w:tblPr>
        <w:tblW w:w="9000" w:type="dxa"/>
        <w:tblLayout w:type="fixed"/>
        <w:tblBorders>
          <w:top w:val="single" w:sz="4" w:color="9FBAD0"/>
          <w:left w:val="single" w:sz="4" w:color="9FBAD0"/>
          <w:bottom w:val="single" w:sz="4" w:color="9FBAD0"/>
          <w:right w:val="single" w:sz="4" w:color="9FBAD0"/>
          <w:insideH w:val="single" w:sz="4" w:color="D9E2EA"/>
          <w:insideV w:val="single" w:sz="4" w:color="D9E2EA"/>
        </w:tblBorders>
        <w:tblCellMar>
          <w:top w:w="80" w:type="dxa"/>
          <w:left w:w="95" w:type="dxa"/>
          <w:bottom w:w="80" w:type="dxa"/>
          <w:right w:w="95" w:type="dxa"/>
        </w:tblCellMar>
      </w:tblPr>
      <w:tblGrid>
        <w:gridCol w:w="2600"/>
        <w:gridCol w:w="6400"/>
      </w:tblGrid>
      <w:tr>
        <w:trPr>
          <w:tblHeader/>
        </w:trPr>
        <w:tc>
          <w:tcPr>
            <w:tcW w:w="26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Document</w:t>
            </w:r>
          </w:p>
        </w:tc>
        <w:tc>
          <w:tcPr>
            <w:tcW w:w="64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Value</w:t>
            </w:r>
          </w:p>
        </w:tc>
      </w:tr>
      <w:tr>
        <w:tc>
          <w:tcPr>
            <w:tcW w:w="2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9"/>
                <w:szCs w:val="19"/>
              </w:rPr>
              <w:t xml:space="preserve">Source template</w:t>
            </w:r>
          </w:p>
        </w:tc>
        <w:tc>
          <w:tcPr>
            <w:tcW w:w="64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9"/>
                <w:szCs w:val="19"/>
              </w:rPr>
              <w:t xml:space="preserve">docs/Report/Template2_RDS Document.docx</w:t>
            </w:r>
          </w:p>
        </w:tc>
      </w:tr>
      <w:tr>
        <w:tc>
          <w:tcPr>
            <w:tcW w:w="2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9"/>
                <w:szCs w:val="19"/>
              </w:rPr>
              <w:t xml:space="preserve">Use Case source</w:t>
            </w:r>
          </w:p>
        </w:tc>
        <w:tc>
          <w:tcPr>
            <w:tcW w:w="64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9"/>
                <w:szCs w:val="19"/>
              </w:rPr>
              <w:t xml:space="preserve">docs/use-case-specifications.md</w:t>
            </w:r>
          </w:p>
        </w:tc>
      </w:tr>
      <w:tr>
        <w:tc>
          <w:tcPr>
            <w:tcW w:w="2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9"/>
                <w:szCs w:val="19"/>
              </w:rPr>
              <w:t xml:space="preserve">Scope</w:t>
            </w:r>
          </w:p>
        </w:tc>
        <w:tc>
          <w:tcPr>
            <w:tcW w:w="64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9"/>
                <w:szCs w:val="19"/>
              </w:rPr>
              <w:t xml:space="preserve">Full RMS system use case coverage</w:t>
            </w:r>
          </w:p>
        </w:tc>
      </w:tr>
      <w:tr>
        <w:tc>
          <w:tcPr>
            <w:tcW w:w="2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9"/>
                <w:szCs w:val="19"/>
              </w:rPr>
              <w:t xml:space="preserve">Total use cases</w:t>
            </w:r>
          </w:p>
        </w:tc>
        <w:tc>
          <w:tcPr>
            <w:tcW w:w="64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9"/>
                <w:szCs w:val="19"/>
              </w:rPr>
              <w:t xml:space="preserve">61 use cases, 5 actors, 25 module/feature labels</w:t>
            </w:r>
          </w:p>
        </w:tc>
      </w:tr>
      <w:tr>
        <w:tc>
          <w:tcPr>
            <w:tcW w:w="2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9"/>
                <w:szCs w:val="19"/>
              </w:rPr>
              <w:t xml:space="preserve">Role model</w:t>
            </w:r>
          </w:p>
        </w:tc>
        <w:tc>
          <w:tcPr>
            <w:tcW w:w="64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9"/>
                <w:szCs w:val="19"/>
              </w:rPr>
              <w:t xml:space="preserve">User-facing HR role is unified as HR; source code maps it to HR_LEADER. The report does not split HR into separate sub-roles.</w:t>
            </w:r>
          </w:p>
        </w:tc>
      </w:tr>
    </w:tbl>
    <w:p>
      <w:pPr>
        <w:spacing w:before="0" w:after="70" w:line="276" w:lineRule="auto"/>
      </w:pPr>
      <w:r>
        <w:rPr>
          <w:rFonts w:ascii="Arial" w:hAnsi="Arial" w:cs="Arial"/>
          <w:color w:val="000000"/>
          <w:sz w:val="21"/>
          <w:szCs w:val="21"/>
        </w:rPr>
        <w:t xml:space="preserve"/>
      </w:r>
    </w:p>
    <w:tbl>
      <w:tblPr>
        <w:tblW w:w="9000" w:type="dxa"/>
        <w:tblLayout w:type="fixed"/>
        <w:tblBorders>
          <w:top w:val="single" w:sz="8" w:color="70AD47"/>
          <w:left w:val="single" w:sz="8" w:color="70AD47"/>
          <w:bottom w:val="single" w:sz="8" w:color="70AD47"/>
          <w:right w:val="single" w:sz="8" w:color="70AD47"/>
        </w:tblBorders>
      </w:tblPr>
      <w:tblGrid>
        <w:gridCol w:w="9000"/>
      </w:tblGrid>
      <w:tr>
        <w:tc>
          <w:tcPr>
            <w:tcW w:w="9000" w:type="dxa"/>
            <w:shd w:fill="F0F6EC"/>
            <w:tcMar>
              <w:top w:w="130" w:type="dxa"/>
              <w:left w:w="180" w:type="dxa"/>
              <w:bottom w:w="130" w:type="dxa"/>
              <w:right w:w="180" w:type="dxa"/>
            </w:tcMar>
          </w:tcPr>
          <w:p>
            <w:pPr>
              <w:spacing w:before="0" w:after="40" w:line="276" w:lineRule="auto"/>
            </w:pPr>
            <w:r>
              <w:rPr>
                <w:rFonts w:ascii="Arial" w:hAnsi="Arial" w:cs="Arial"/>
                <w:b/>
                <w:bCs/>
                <w:color w:val="375623"/>
                <w:sz w:val="21"/>
                <w:szCs w:val="21"/>
              </w:rPr>
              <w:t xml:space="preserve">Coverage objective</w:t>
            </w:r>
          </w:p>
          <w:p>
            <w:pPr>
              <w:spacing w:before="0" w:after="40" w:line="276" w:lineRule="auto"/>
            </w:pPr>
            <w:r>
              <w:rPr>
                <w:rFonts w:ascii="Arial" w:hAnsi="Arial" w:cs="Arial"/>
                <w:color w:val="000000"/>
                <w:sz w:val="20"/>
                <w:szCs w:val="20"/>
              </w:rPr>
              <w:t xml:space="preserve">Phần Use Case này không chỉ liệt kê từng UC riêng lẻ, mà gom theo actor, module, hành trình nghiệp vụ và ma trận coverage. Nhờ đó người đọc có thể kiểm tra nhanh rằng báo cáo bao quát đầy đủ từ đăng nhập, nhu cầu tuyển dụng, lập kế hoạch, CV/AI, phỏng vấn, quyết định tuyển dụng, offer, notification, báo cáo đến bảo mật/health check.</w:t>
            </w:r>
          </w:p>
        </w:tc>
      </w:tr>
    </w:tbl>
    <w:p>
      <w:pPr>
        <w:spacing w:before="0" w:after="80" w:line="276" w:lineRule="auto"/>
      </w:pPr>
      <w:r>
        <w:rPr>
          <w:rFonts w:ascii="Arial" w:hAnsi="Arial" w:cs="Arial"/>
          <w:color w:val="000000"/>
          <w:sz w:val="21"/>
          <w:szCs w:val="21"/>
        </w:rPr>
        <w:t xml:space="preserve"/>
      </w:r>
    </w:p>
    <w:p>
      <w:r>
        <w:br w:type="page"/>
      </w:r>
    </w:p>
    <w:p>
      <w:pPr>
        <w:keepNext/>
        <w:spacing w:before="360" w:after="160" w:line="276" w:lineRule="auto"/>
      </w:pPr>
      <w:r>
        <w:rPr>
          <w:rFonts w:ascii="Arial" w:hAnsi="Arial" w:cs="Arial"/>
          <w:b/>
          <w:bCs/>
          <w:color w:val="1F4E79"/>
          <w:sz w:val="31"/>
          <w:szCs w:val="31"/>
        </w:rPr>
        <w:t xml:space="preserve">1. Document Control</w:t>
      </w:r>
    </w:p>
    <w:tbl>
      <w:tblPr>
        <w:tblW w:w="9000" w:type="dxa"/>
        <w:tblLayout w:type="fixed"/>
        <w:tblBorders>
          <w:top w:val="single" w:sz="4" w:color="9FBAD0"/>
          <w:left w:val="single" w:sz="4" w:color="9FBAD0"/>
          <w:bottom w:val="single" w:sz="4" w:color="9FBAD0"/>
          <w:right w:val="single" w:sz="4" w:color="9FBAD0"/>
          <w:insideH w:val="single" w:sz="4" w:color="D9E2EA"/>
          <w:insideV w:val="single" w:sz="4" w:color="D9E2EA"/>
        </w:tblBorders>
        <w:tblCellMar>
          <w:top w:w="80" w:type="dxa"/>
          <w:left w:w="95" w:type="dxa"/>
          <w:bottom w:w="80" w:type="dxa"/>
          <w:right w:w="95" w:type="dxa"/>
        </w:tblCellMar>
      </w:tblPr>
      <w:tblGrid>
        <w:gridCol w:w="1100"/>
        <w:gridCol w:w="1600"/>
        <w:gridCol w:w="2500"/>
        <w:gridCol w:w="3800"/>
      </w:tblGrid>
      <w:tr>
        <w:trPr>
          <w:tblHeader/>
        </w:trPr>
        <w:tc>
          <w:tcPr>
            <w:tcW w:w="11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Version</w:t>
            </w:r>
          </w:p>
        </w:tc>
        <w:tc>
          <w:tcPr>
            <w:tcW w:w="16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Date</w:t>
            </w:r>
          </w:p>
        </w:tc>
        <w:tc>
          <w:tcPr>
            <w:tcW w:w="25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Author</w:t>
            </w:r>
          </w:p>
        </w:tc>
        <w:tc>
          <w:tcPr>
            <w:tcW w:w="38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Description</w:t>
            </w:r>
          </w:p>
        </w:tc>
      </w:tr>
      <w:tr>
        <w:tc>
          <w:tcPr>
            <w:tcW w:w="1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1.0</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2026-07-06</w:t>
            </w:r>
          </w:p>
        </w:tc>
        <w:tc>
          <w:tcPr>
            <w:tcW w:w="25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SE20A05 Group 7</w:t>
            </w:r>
          </w:p>
        </w:tc>
        <w:tc>
          <w:tcPr>
            <w:tcW w:w="3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Redesigned Use Case report section using the current full-system UC catalog.</w:t>
            </w:r>
          </w:p>
        </w:tc>
      </w:tr>
    </w:tbl>
    <w:p>
      <w:pPr>
        <w:spacing w:before="0" w:after="70" w:line="276" w:lineRule="auto"/>
      </w:pPr>
      <w:r>
        <w:rPr>
          <w:rFonts w:ascii="Arial" w:hAnsi="Arial" w:cs="Arial"/>
          <w:color w:val="000000"/>
          <w:sz w:val="21"/>
          <w:szCs w:val="21"/>
        </w:rPr>
        <w:t xml:space="preserve"/>
      </w:r>
    </w:p>
    <w:p>
      <w:pPr>
        <w:keepNext/>
        <w:spacing w:before="360" w:after="160" w:line="276" w:lineRule="auto"/>
      </w:pPr>
      <w:r>
        <w:rPr>
          <w:rFonts w:ascii="Arial" w:hAnsi="Arial" w:cs="Arial"/>
          <w:b/>
          <w:bCs/>
          <w:color w:val="1F4E79"/>
          <w:sz w:val="31"/>
          <w:szCs w:val="31"/>
        </w:rPr>
        <w:t xml:space="preserve">2. Use Case Coverage Summary</w:t>
      </w:r>
    </w:p>
    <w:p>
      <w:pPr>
        <w:spacing w:before="0" w:after="120" w:line="276" w:lineRule="auto"/>
      </w:pPr>
      <w:r>
        <w:rPr>
          <w:rFonts w:ascii="Arial" w:hAnsi="Arial" w:cs="Arial"/>
          <w:color w:val="000000"/>
          <w:sz w:val="20"/>
          <w:szCs w:val="20"/>
        </w:rPr>
        <w:t xml:space="preserve">The Use Case section is organized around five views: actors, end-to-end business journeys, functional coverage groups, detailed UC catalog and cross-cutting business rules.</w:t>
      </w:r>
    </w:p>
    <w:tbl>
      <w:tblPr>
        <w:tblW w:w="9000" w:type="dxa"/>
        <w:tblLayout w:type="fixed"/>
        <w:tblBorders>
          <w:top w:val="single" w:sz="4" w:color="9FBAD0"/>
          <w:left w:val="single" w:sz="4" w:color="9FBAD0"/>
          <w:bottom w:val="single" w:sz="4" w:color="9FBAD0"/>
          <w:right w:val="single" w:sz="4" w:color="9FBAD0"/>
          <w:insideH w:val="single" w:sz="4" w:color="D9E2EA"/>
          <w:insideV w:val="single" w:sz="4" w:color="D9E2EA"/>
        </w:tblBorders>
        <w:tblCellMar>
          <w:top w:w="80" w:type="dxa"/>
          <w:left w:w="95" w:type="dxa"/>
          <w:bottom w:w="80" w:type="dxa"/>
          <w:right w:w="95" w:type="dxa"/>
        </w:tblCellMar>
      </w:tblPr>
      <w:tblGrid>
        <w:gridCol w:w="1900"/>
        <w:gridCol w:w="1300"/>
        <w:gridCol w:w="5800"/>
      </w:tblGrid>
      <w:tr>
        <w:trPr>
          <w:tblHeader/>
        </w:trPr>
        <w:tc>
          <w:tcPr>
            <w:tcW w:w="19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Metric</w:t>
            </w:r>
          </w:p>
        </w:tc>
        <w:tc>
          <w:tcPr>
            <w:tcW w:w="13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Value</w:t>
            </w:r>
          </w:p>
        </w:tc>
        <w:tc>
          <w:tcPr>
            <w:tcW w:w="58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Meaning</w:t>
            </w:r>
          </w:p>
        </w:tc>
      </w:tr>
      <w:tr>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Actors</w:t>
            </w:r>
          </w:p>
        </w:tc>
        <w:tc>
          <w:tcPr>
            <w:tcW w:w="13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5</w:t>
            </w:r>
          </w:p>
        </w:tc>
        <w:tc>
          <w:tcPr>
            <w:tcW w:w="5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Admin, HR, Department Head, Candidate and System/Worker responsibilities are represented.</w:t>
            </w:r>
          </w:p>
        </w:tc>
      </w:tr>
      <w:tr>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Use cases</w:t>
            </w:r>
          </w:p>
        </w:tc>
        <w:tc>
          <w:tcPr>
            <w:tcW w:w="13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61</w:t>
            </w:r>
          </w:p>
        </w:tc>
        <w:tc>
          <w:tcPr>
            <w:tcW w:w="5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Every use case from UC-01 to UC-61 is included.</w:t>
            </w:r>
          </w:p>
        </w:tc>
      </w:tr>
      <w:tr>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Coverage groups</w:t>
            </w:r>
          </w:p>
        </w:tc>
        <w:tc>
          <w:tcPr>
            <w:tcW w:w="13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5</w:t>
            </w:r>
          </w:p>
        </w:tc>
        <w:tc>
          <w:tcPr>
            <w:tcW w:w="5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UCs are grouped into business capability areas for system-level review.</w:t>
            </w:r>
          </w:p>
        </w:tc>
      </w:tr>
      <w:tr>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Feature labels</w:t>
            </w:r>
          </w:p>
        </w:tc>
        <w:tc>
          <w:tcPr>
            <w:tcW w:w="13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25</w:t>
            </w:r>
          </w:p>
        </w:tc>
        <w:tc>
          <w:tcPr>
            <w:tcW w:w="5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Original module/feature tags from the specification are preserved.</w:t>
            </w:r>
          </w:p>
        </w:tc>
      </w:tr>
    </w:tbl>
    <w:p>
      <w:pPr>
        <w:spacing w:before="0" w:after="70" w:line="276" w:lineRule="auto"/>
      </w:pPr>
      <w:r>
        <w:rPr>
          <w:rFonts w:ascii="Arial" w:hAnsi="Arial" w:cs="Arial"/>
          <w:color w:val="000000"/>
          <w:sz w:val="21"/>
          <w:szCs w:val="21"/>
        </w:rPr>
        <w:t xml:space="preserve"/>
      </w:r>
    </w:p>
    <w:p>
      <w:pPr>
        <w:keepNext/>
        <w:spacing w:before="260" w:after="120" w:line="276" w:lineRule="auto"/>
      </w:pPr>
      <w:r>
        <w:rPr>
          <w:rFonts w:ascii="Arial" w:hAnsi="Arial" w:cs="Arial"/>
          <w:b/>
          <w:bCs/>
          <w:color w:val="1F4E79"/>
          <w:sz w:val="25"/>
          <w:szCs w:val="25"/>
        </w:rPr>
        <w:t xml:space="preserve">2.1 Actors</w:t>
      </w:r>
    </w:p>
    <w:tbl>
      <w:tblPr>
        <w:tblW w:w="9000" w:type="dxa"/>
        <w:tblLayout w:type="fixed"/>
        <w:tblBorders>
          <w:top w:val="single" w:sz="4" w:color="9FBAD0"/>
          <w:left w:val="single" w:sz="4" w:color="9FBAD0"/>
          <w:bottom w:val="single" w:sz="4" w:color="9FBAD0"/>
          <w:right w:val="single" w:sz="4" w:color="9FBAD0"/>
          <w:insideH w:val="single" w:sz="4" w:color="D9E2EA"/>
          <w:insideV w:val="single" w:sz="4" w:color="D9E2EA"/>
        </w:tblBorders>
        <w:tblCellMar>
          <w:top w:w="80" w:type="dxa"/>
          <w:left w:w="95" w:type="dxa"/>
          <w:bottom w:w="80" w:type="dxa"/>
          <w:right w:w="95" w:type="dxa"/>
        </w:tblCellMar>
      </w:tblPr>
      <w:tblGrid>
        <w:gridCol w:w="2200"/>
        <w:gridCol w:w="6800"/>
      </w:tblGrid>
      <w:tr>
        <w:trPr>
          <w:tblHeader/>
        </w:trPr>
        <w:tc>
          <w:tcPr>
            <w:tcW w:w="22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Actor</w:t>
            </w:r>
          </w:p>
        </w:tc>
        <w:tc>
          <w:tcPr>
            <w:tcW w:w="68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System Responsibility</w:t>
            </w:r>
          </w:p>
        </w:tc>
      </w:tr>
      <w:tr>
        <w:tc>
          <w:tcPr>
            <w:tcW w:w="22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Admin</w:t>
            </w:r>
          </w:p>
        </w:tc>
        <w:tc>
          <w:tcPr>
            <w:tcW w:w="6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Quản trị hệ thống, quản lý người dùng/phòng ban, duyệt yêu cầu/kế hoạch, ra quyết định tuyển dụng cuối cùng, xem báo cáo.</w:t>
            </w:r>
          </w:p>
        </w:tc>
      </w:tr>
      <w:tr>
        <w:tc>
          <w:tcPr>
            <w:tcW w:w="22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HR</w:t>
            </w:r>
          </w:p>
        </w:tc>
        <w:tc>
          <w:tcPr>
            <w:tcW w:w="6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Điều phối tuyển dụng: review request, lập kế hoạch, phân công task, quản lý campaign, CV, phỏng vấn, offer và pipeline.</w:t>
            </w:r>
          </w:p>
        </w:tc>
      </w:tr>
      <w:tr>
        <w:tc>
          <w:tcPr>
            <w:tcW w:w="22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Department Head</w:t>
            </w:r>
          </w:p>
        </w:tc>
        <w:tc>
          <w:tcPr>
            <w:tcW w:w="6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Tạo nhu cầu tuyển dụng, theo dõi tiến độ, tham gia hội đồng phỏng vấn và gửi feedback.</w:t>
            </w:r>
          </w:p>
        </w:tc>
      </w:tr>
      <w:tr>
        <w:tc>
          <w:tcPr>
            <w:tcW w:w="22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Candidate</w:t>
            </w:r>
          </w:p>
        </w:tc>
        <w:tc>
          <w:tcPr>
            <w:tcW w:w="6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Đăng ký tài khoản, quản lý hồ sơ/CV, theo dõi thông báo/phỏng vấn, phản hồi offer.</w:t>
            </w:r>
          </w:p>
        </w:tc>
      </w:tr>
      <w:tr>
        <w:tc>
          <w:tcPr>
            <w:tcW w:w="22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System / Worker</w:t>
            </w:r>
          </w:p>
        </w:tc>
        <w:tc>
          <w:tcPr>
            <w:tcW w:w="6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Tác nhân nền xử lý CV, embedding, email, notification, reminder, audit log và health check.</w:t>
            </w:r>
          </w:p>
        </w:tc>
      </w:tr>
    </w:tbl>
    <w:p>
      <w:pPr>
        <w:spacing w:before="0" w:after="70" w:line="276" w:lineRule="auto"/>
      </w:pPr>
      <w:r>
        <w:rPr>
          <w:rFonts w:ascii="Arial" w:hAnsi="Arial" w:cs="Arial"/>
          <w:color w:val="000000"/>
          <w:sz w:val="21"/>
          <w:szCs w:val="21"/>
        </w:rPr>
        <w:t xml:space="preserve"/>
      </w:r>
    </w:p>
    <w:p>
      <w:pPr>
        <w:keepNext/>
        <w:spacing w:before="260" w:after="120" w:line="276" w:lineRule="auto"/>
      </w:pPr>
      <w:r>
        <w:rPr>
          <w:rFonts w:ascii="Arial" w:hAnsi="Arial" w:cs="Arial"/>
          <w:b/>
          <w:bCs/>
          <w:color w:val="1F4E79"/>
          <w:sz w:val="25"/>
          <w:szCs w:val="25"/>
        </w:rPr>
        <w:t xml:space="preserve">2.2 End-to-End Business Journey</w:t>
      </w:r>
    </w:p>
    <w:tbl>
      <w:tblPr>
        <w:tblW w:w="9000" w:type="dxa"/>
        <w:tblLayout w:type="fixed"/>
        <w:tblBorders>
          <w:top w:val="single" w:sz="4" w:color="9FBAD0"/>
          <w:left w:val="single" w:sz="4" w:color="9FBAD0"/>
          <w:bottom w:val="single" w:sz="4" w:color="9FBAD0"/>
          <w:right w:val="single" w:sz="4" w:color="9FBAD0"/>
          <w:insideH w:val="single" w:sz="4" w:color="D9E2EA"/>
          <w:insideV w:val="single" w:sz="4" w:color="D9E2EA"/>
        </w:tblBorders>
        <w:tblCellMar>
          <w:top w:w="80" w:type="dxa"/>
          <w:left w:w="95" w:type="dxa"/>
          <w:bottom w:w="80" w:type="dxa"/>
          <w:right w:w="95" w:type="dxa"/>
        </w:tblCellMar>
      </w:tblPr>
      <w:tblGrid>
        <w:gridCol w:w="700"/>
        <w:gridCol w:w="2300"/>
        <w:gridCol w:w="2200"/>
        <w:gridCol w:w="3800"/>
      </w:tblGrid>
      <w:tr>
        <w:trPr>
          <w:tblHeader/>
        </w:trPr>
        <w:tc>
          <w:tcPr>
            <w:tcW w:w="7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Step</w:t>
            </w:r>
          </w:p>
        </w:tc>
        <w:tc>
          <w:tcPr>
            <w:tcW w:w="23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Journey</w:t>
            </w:r>
          </w:p>
        </w:tc>
        <w:tc>
          <w:tcPr>
            <w:tcW w:w="22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UC Coverage</w:t>
            </w:r>
          </w:p>
        </w:tc>
        <w:tc>
          <w:tcPr>
            <w:tcW w:w="38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Business Meaning</w:t>
            </w:r>
          </w:p>
        </w:tc>
      </w:tr>
      <w:tr>
        <w:tc>
          <w:tcPr>
            <w:tcW w:w="7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1</w:t>
            </w:r>
          </w:p>
        </w:tc>
        <w:tc>
          <w:tcPr>
            <w:tcW w:w="23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Access &amp; account setup</w:t>
            </w:r>
          </w:p>
        </w:tc>
        <w:tc>
          <w:tcPr>
            <w:tcW w:w="22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UC-01..UC-15, UC-60, UC-61</w:t>
            </w:r>
          </w:p>
        </w:tc>
        <w:tc>
          <w:tcPr>
            <w:tcW w:w="3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User enters the system, gets the right role, profile, organization scope and secure access.</w:t>
            </w:r>
          </w:p>
        </w:tc>
      </w:tr>
      <w:tr>
        <w:tc>
          <w:tcPr>
            <w:tcW w:w="7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2</w:t>
            </w:r>
          </w:p>
        </w:tc>
        <w:tc>
          <w:tcPr>
            <w:tcW w:w="23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Recruitment demand intake</w:t>
            </w:r>
          </w:p>
        </w:tc>
        <w:tc>
          <w:tcPr>
            <w:tcW w:w="22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UC-16..UC-24</w:t>
            </w:r>
          </w:p>
        </w:tc>
        <w:tc>
          <w:tcPr>
            <w:tcW w:w="3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Department Head creates hiring demand; HR/Admin review, assign, decide and preserve audit history.</w:t>
            </w:r>
          </w:p>
        </w:tc>
      </w:tr>
      <w:tr>
        <w:tc>
          <w:tcPr>
            <w:tcW w:w="7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3</w:t>
            </w:r>
          </w:p>
        </w:tc>
        <w:tc>
          <w:tcPr>
            <w:tcW w:w="23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Planning and execution readiness</w:t>
            </w:r>
          </w:p>
        </w:tc>
        <w:tc>
          <w:tcPr>
            <w:tcW w:w="22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UC-25..UC-31</w:t>
            </w:r>
          </w:p>
        </w:tc>
        <w:tc>
          <w:tcPr>
            <w:tcW w:w="3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HR builds overall plan and task plan; Admin approval unlocks downstream recruiting operations.</w:t>
            </w:r>
          </w:p>
        </w:tc>
      </w:tr>
      <w:tr>
        <w:tc>
          <w:tcPr>
            <w:tcW w:w="7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4</w:t>
            </w:r>
          </w:p>
        </w:tc>
        <w:tc>
          <w:tcPr>
            <w:tcW w:w="23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Sourcing, CV and candidate intelligence</w:t>
            </w:r>
          </w:p>
        </w:tc>
        <w:tc>
          <w:tcPr>
            <w:tcW w:w="22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UC-32..UC-45</w:t>
            </w:r>
          </w:p>
        </w:tc>
        <w:tc>
          <w:tcPr>
            <w:tcW w:w="3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System publishes jobs, collects applications/CVs, parses CVs, enables screening and talent search.</w:t>
            </w:r>
          </w:p>
        </w:tc>
      </w:tr>
      <w:tr>
        <w:tc>
          <w:tcPr>
            <w:tcW w:w="7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5</w:t>
            </w:r>
          </w:p>
        </w:tc>
        <w:tc>
          <w:tcPr>
            <w:tcW w:w="23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Interview and decision loop</w:t>
            </w:r>
          </w:p>
        </w:tc>
        <w:tc>
          <w:tcPr>
            <w:tcW w:w="22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UC-46..UC-54</w:t>
            </w:r>
          </w:p>
        </w:tc>
        <w:tc>
          <w:tcPr>
            <w:tcW w:w="3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HR schedules interviews, panel records feedback, Admin reviews results and makes final hiring decision.</w:t>
            </w:r>
          </w:p>
        </w:tc>
      </w:tr>
      <w:tr>
        <w:tc>
          <w:tcPr>
            <w:tcW w:w="7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6</w:t>
            </w:r>
          </w:p>
        </w:tc>
        <w:tc>
          <w:tcPr>
            <w:tcW w:w="23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Offer, communication and management insight</w:t>
            </w:r>
          </w:p>
        </w:tc>
        <w:tc>
          <w:tcPr>
            <w:tcW w:w="22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UC-55..UC-59</w:t>
            </w:r>
          </w:p>
        </w:tc>
        <w:tc>
          <w:tcPr>
            <w:tcW w:w="3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HR/Admin handle offer letters, candidate responds, notifications and reports keep stakeholders aligned.</w:t>
            </w:r>
          </w:p>
        </w:tc>
      </w:tr>
    </w:tbl>
    <w:p>
      <w:pPr>
        <w:spacing w:before="0" w:after="70" w:line="276" w:lineRule="auto"/>
      </w:pPr>
      <w:r>
        <w:rPr>
          <w:rFonts w:ascii="Arial" w:hAnsi="Arial" w:cs="Arial"/>
          <w:color w:val="000000"/>
          <w:sz w:val="21"/>
          <w:szCs w:val="21"/>
        </w:rPr>
        <w:t xml:space="preserve"/>
      </w:r>
    </w:p>
    <w:p>
      <w:pPr>
        <w:keepNext/>
        <w:spacing w:before="260" w:after="120" w:line="276" w:lineRule="auto"/>
      </w:pPr>
      <w:r>
        <w:rPr>
          <w:rFonts w:ascii="Arial" w:hAnsi="Arial" w:cs="Arial"/>
          <w:b/>
          <w:bCs/>
          <w:color w:val="1F4E79"/>
          <w:sz w:val="25"/>
          <w:szCs w:val="25"/>
        </w:rPr>
        <w:t xml:space="preserve">2.3 Functional Coverage Groups</w:t>
      </w:r>
    </w:p>
    <w:tbl>
      <w:tblPr>
        <w:tblW w:w="9000" w:type="dxa"/>
        <w:tblLayout w:type="fixed"/>
        <w:tblBorders>
          <w:top w:val="single" w:sz="4" w:color="9FBAD0"/>
          <w:left w:val="single" w:sz="4" w:color="9FBAD0"/>
          <w:bottom w:val="single" w:sz="4" w:color="9FBAD0"/>
          <w:right w:val="single" w:sz="4" w:color="9FBAD0"/>
          <w:insideH w:val="single" w:sz="4" w:color="D9E2EA"/>
          <w:insideV w:val="single" w:sz="4" w:color="D9E2EA"/>
        </w:tblBorders>
        <w:tblCellMar>
          <w:top w:w="80" w:type="dxa"/>
          <w:left w:w="95" w:type="dxa"/>
          <w:bottom w:w="80" w:type="dxa"/>
          <w:right w:w="95" w:type="dxa"/>
        </w:tblCellMar>
      </w:tblPr>
      <w:tblGrid>
        <w:gridCol w:w="2900"/>
        <w:gridCol w:w="1100"/>
        <w:gridCol w:w="2500"/>
        <w:gridCol w:w="2500"/>
      </w:tblGrid>
      <w:tr>
        <w:trPr>
          <w:tblHeader/>
        </w:trPr>
        <w:tc>
          <w:tcPr>
            <w:tcW w:w="29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Coverage Group</w:t>
            </w:r>
          </w:p>
        </w:tc>
        <w:tc>
          <w:tcPr>
            <w:tcW w:w="11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UC Count</w:t>
            </w:r>
          </w:p>
        </w:tc>
        <w:tc>
          <w:tcPr>
            <w:tcW w:w="25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UC Range</w:t>
            </w:r>
          </w:p>
        </w:tc>
        <w:tc>
          <w:tcPr>
            <w:tcW w:w="25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Covered Actors</w:t>
            </w:r>
          </w:p>
        </w:tc>
      </w:tr>
      <w:tr>
        <w:tc>
          <w:tcPr>
            <w:tcW w:w="2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Access, Identity &amp; Governance</w:t>
            </w:r>
          </w:p>
        </w:tc>
        <w:tc>
          <w:tcPr>
            <w:tcW w:w="11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17</w:t>
            </w:r>
          </w:p>
        </w:tc>
        <w:tc>
          <w:tcPr>
            <w:tcW w:w="25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UC-01..UC-15, UC-60..UC-61</w:t>
            </w:r>
          </w:p>
        </w:tc>
        <w:tc>
          <w:tcPr>
            <w:tcW w:w="25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Candidate, Admin, HR, Department Head, System/Worker</w:t>
            </w:r>
          </w:p>
        </w:tc>
      </w:tr>
      <w:tr>
        <w:tc>
          <w:tcPr>
            <w:tcW w:w="2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Recruitment Request &amp; Planning</w:t>
            </w:r>
          </w:p>
        </w:tc>
        <w:tc>
          <w:tcPr>
            <w:tcW w:w="11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17</w:t>
            </w:r>
          </w:p>
        </w:tc>
        <w:tc>
          <w:tcPr>
            <w:tcW w:w="25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UC-16..UC-32</w:t>
            </w:r>
          </w:p>
        </w:tc>
        <w:tc>
          <w:tcPr>
            <w:tcW w:w="25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Department Head, HR, Admin, Candidate</w:t>
            </w:r>
          </w:p>
        </w:tc>
      </w:tr>
      <w:tr>
        <w:tc>
          <w:tcPr>
            <w:tcW w:w="2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Sourcing, CV &amp; Talent Intelligence</w:t>
            </w:r>
          </w:p>
        </w:tc>
        <w:tc>
          <w:tcPr>
            <w:tcW w:w="11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13</w:t>
            </w:r>
          </w:p>
        </w:tc>
        <w:tc>
          <w:tcPr>
            <w:tcW w:w="25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UC-33..UC-45</w:t>
            </w:r>
          </w:p>
        </w:tc>
        <w:tc>
          <w:tcPr>
            <w:tcW w:w="25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Admin, HR, Candidate, Department Head, System/Worker</w:t>
            </w:r>
          </w:p>
        </w:tc>
      </w:tr>
      <w:tr>
        <w:tc>
          <w:tcPr>
            <w:tcW w:w="2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Interview, Result &amp; Hiring Decision</w:t>
            </w:r>
          </w:p>
        </w:tc>
        <w:tc>
          <w:tcPr>
            <w:tcW w:w="11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9</w:t>
            </w:r>
          </w:p>
        </w:tc>
        <w:tc>
          <w:tcPr>
            <w:tcW w:w="25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UC-46..UC-54</w:t>
            </w:r>
          </w:p>
        </w:tc>
        <w:tc>
          <w:tcPr>
            <w:tcW w:w="25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HR, Candidate, Admin, Department Head</w:t>
            </w:r>
          </w:p>
        </w:tc>
      </w:tr>
      <w:tr>
        <w:tc>
          <w:tcPr>
            <w:tcW w:w="2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Offer, Notification &amp; Reporting</w:t>
            </w:r>
          </w:p>
        </w:tc>
        <w:tc>
          <w:tcPr>
            <w:tcW w:w="11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5</w:t>
            </w:r>
          </w:p>
        </w:tc>
        <w:tc>
          <w:tcPr>
            <w:tcW w:w="25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UC-55..UC-59</w:t>
            </w:r>
          </w:p>
        </w:tc>
        <w:tc>
          <w:tcPr>
            <w:tcW w:w="25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Admin, HR, Candidate, Department Head</w:t>
            </w:r>
          </w:p>
        </w:tc>
      </w:tr>
    </w:tbl>
    <w:p>
      <w:pPr>
        <w:spacing w:before="0" w:after="70" w:line="276" w:lineRule="auto"/>
      </w:pPr>
      <w:r>
        <w:rPr>
          <w:rFonts w:ascii="Arial" w:hAnsi="Arial" w:cs="Arial"/>
          <w:color w:val="000000"/>
          <w:sz w:val="21"/>
          <w:szCs w:val="21"/>
        </w:rPr>
        <w:t xml:space="preserve"/>
      </w:r>
    </w:p>
    <w:p>
      <w:pPr>
        <w:keepNext/>
        <w:spacing w:before="260" w:after="120" w:line="276" w:lineRule="auto"/>
      </w:pPr>
      <w:r>
        <w:rPr>
          <w:rFonts w:ascii="Arial" w:hAnsi="Arial" w:cs="Arial"/>
          <w:b/>
          <w:bCs/>
          <w:color w:val="1F4E79"/>
          <w:sz w:val="25"/>
          <w:szCs w:val="25"/>
        </w:rPr>
        <w:t xml:space="preserve">2.4 Module Coverage</w:t>
      </w:r>
    </w:p>
    <w:tbl>
      <w:tblPr>
        <w:tblW w:w="9000" w:type="dxa"/>
        <w:tblLayout w:type="fixed"/>
        <w:tblBorders>
          <w:top w:val="single" w:sz="4" w:color="9FBAD0"/>
          <w:left w:val="single" w:sz="4" w:color="9FBAD0"/>
          <w:bottom w:val="single" w:sz="4" w:color="9FBAD0"/>
          <w:right w:val="single" w:sz="4" w:color="9FBAD0"/>
          <w:insideH w:val="single" w:sz="4" w:color="D9E2EA"/>
          <w:insideV w:val="single" w:sz="4" w:color="D9E2EA"/>
        </w:tblBorders>
        <w:tblCellMar>
          <w:top w:w="80" w:type="dxa"/>
          <w:left w:w="95" w:type="dxa"/>
          <w:bottom w:w="80" w:type="dxa"/>
          <w:right w:w="95" w:type="dxa"/>
        </w:tblCellMar>
      </w:tblPr>
      <w:tblGrid>
        <w:gridCol w:w="1900"/>
        <w:gridCol w:w="2800"/>
        <w:gridCol w:w="900"/>
        <w:gridCol w:w="3400"/>
      </w:tblGrid>
      <w:tr>
        <w:trPr>
          <w:tblHeader/>
        </w:trPr>
        <w:tc>
          <w:tcPr>
            <w:tcW w:w="19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Module / Feature</w:t>
            </w:r>
          </w:p>
        </w:tc>
        <w:tc>
          <w:tcPr>
            <w:tcW w:w="28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Coverage Group</w:t>
            </w:r>
          </w:p>
        </w:tc>
        <w:tc>
          <w:tcPr>
            <w:tcW w:w="9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Count</w:t>
            </w:r>
          </w:p>
        </w:tc>
        <w:tc>
          <w:tcPr>
            <w:tcW w:w="34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Use Cases</w:t>
            </w:r>
          </w:p>
        </w:tc>
      </w:tr>
      <w:tr>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Auth</w:t>
            </w:r>
          </w:p>
        </w:tc>
        <w:tc>
          <w:tcPr>
            <w:tcW w:w="2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Access, Identity &amp; Governance</w:t>
            </w:r>
          </w:p>
        </w:tc>
        <w:tc>
          <w:tcPr>
            <w:tcW w:w="9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7</w:t>
            </w:r>
          </w:p>
        </w:tc>
        <w:tc>
          <w:tcPr>
            <w:tcW w:w="34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UC-01, UC-02, UC-03, UC-04, UC-05, UC-06, UC-07</w:t>
            </w:r>
          </w:p>
        </w:tc>
      </w:tr>
      <w:tr>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Identity</w:t>
            </w:r>
          </w:p>
        </w:tc>
        <w:tc>
          <w:tcPr>
            <w:tcW w:w="2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Access, Identity &amp; Governance</w:t>
            </w:r>
          </w:p>
        </w:tc>
        <w:tc>
          <w:tcPr>
            <w:tcW w:w="9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7</w:t>
            </w:r>
          </w:p>
        </w:tc>
        <w:tc>
          <w:tcPr>
            <w:tcW w:w="34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UC-08, UC-10, UC-11, UC-12, UC-13, UC-14, UC-15</w:t>
            </w:r>
          </w:p>
        </w:tc>
      </w:tr>
      <w:tr>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Identity / Calendar</w:t>
            </w:r>
          </w:p>
        </w:tc>
        <w:tc>
          <w:tcPr>
            <w:tcW w:w="2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Access, Identity &amp; Governance</w:t>
            </w:r>
          </w:p>
        </w:tc>
        <w:tc>
          <w:tcPr>
            <w:tcW w:w="9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1</w:t>
            </w:r>
          </w:p>
        </w:tc>
        <w:tc>
          <w:tcPr>
            <w:tcW w:w="34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UC-09</w:t>
            </w:r>
          </w:p>
        </w:tc>
      </w:tr>
      <w:tr>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Recruiting</w:t>
            </w:r>
          </w:p>
        </w:tc>
        <w:tc>
          <w:tcPr>
            <w:tcW w:w="2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Recruitment Request &amp; Planning</w:t>
            </w:r>
          </w:p>
        </w:tc>
        <w:tc>
          <w:tcPr>
            <w:tcW w:w="9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9</w:t>
            </w:r>
          </w:p>
        </w:tc>
        <w:tc>
          <w:tcPr>
            <w:tcW w:w="34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UC-16, UC-17, UC-18, UC-19, UC-20, UC-21, UC-22, UC-23, UC-32</w:t>
            </w:r>
          </w:p>
        </w:tc>
      </w:tr>
      <w:tr>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Recruiting / Audit</w:t>
            </w:r>
          </w:p>
        </w:tc>
        <w:tc>
          <w:tcPr>
            <w:tcW w:w="2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Recruitment Request &amp; Planning</w:t>
            </w:r>
          </w:p>
        </w:tc>
        <w:tc>
          <w:tcPr>
            <w:tcW w:w="9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1</w:t>
            </w:r>
          </w:p>
        </w:tc>
        <w:tc>
          <w:tcPr>
            <w:tcW w:w="34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UC-24</w:t>
            </w:r>
          </w:p>
        </w:tc>
      </w:tr>
      <w:tr>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Planning</w:t>
            </w:r>
          </w:p>
        </w:tc>
        <w:tc>
          <w:tcPr>
            <w:tcW w:w="2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Recruitment Request &amp; Planning</w:t>
            </w:r>
          </w:p>
        </w:tc>
        <w:tc>
          <w:tcPr>
            <w:tcW w:w="9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4</w:t>
            </w:r>
          </w:p>
        </w:tc>
        <w:tc>
          <w:tcPr>
            <w:tcW w:w="34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UC-25, UC-26, UC-27, UC-28</w:t>
            </w:r>
          </w:p>
        </w:tc>
      </w:tr>
      <w:tr>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Task Planning</w:t>
            </w:r>
          </w:p>
        </w:tc>
        <w:tc>
          <w:tcPr>
            <w:tcW w:w="2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Recruitment Request &amp; Planning</w:t>
            </w:r>
          </w:p>
        </w:tc>
        <w:tc>
          <w:tcPr>
            <w:tcW w:w="9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3</w:t>
            </w:r>
          </w:p>
        </w:tc>
        <w:tc>
          <w:tcPr>
            <w:tcW w:w="34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UC-29, UC-30, UC-31</w:t>
            </w:r>
          </w:p>
        </w:tc>
      </w:tr>
      <w:tr>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Job Posting</w:t>
            </w:r>
          </w:p>
        </w:tc>
        <w:tc>
          <w:tcPr>
            <w:tcW w:w="2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Sourcing, CV &amp; Talent Intelligence</w:t>
            </w:r>
          </w:p>
        </w:tc>
        <w:tc>
          <w:tcPr>
            <w:tcW w:w="9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2</w:t>
            </w:r>
          </w:p>
        </w:tc>
        <w:tc>
          <w:tcPr>
            <w:tcW w:w="34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UC-33, UC-34</w:t>
            </w:r>
          </w:p>
        </w:tc>
      </w:tr>
      <w:tr>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Applications</w:t>
            </w:r>
          </w:p>
        </w:tc>
        <w:tc>
          <w:tcPr>
            <w:tcW w:w="2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Sourcing, CV &amp; Talent Intelligence</w:t>
            </w:r>
          </w:p>
        </w:tc>
        <w:tc>
          <w:tcPr>
            <w:tcW w:w="9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2</w:t>
            </w:r>
          </w:p>
        </w:tc>
        <w:tc>
          <w:tcPr>
            <w:tcW w:w="34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UC-35, UC-36</w:t>
            </w:r>
          </w:p>
        </w:tc>
      </w:tr>
      <w:tr>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Evaluations</w:t>
            </w:r>
          </w:p>
        </w:tc>
        <w:tc>
          <w:tcPr>
            <w:tcW w:w="2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Sourcing, CV &amp; Talent Intelligence</w:t>
            </w:r>
          </w:p>
        </w:tc>
        <w:tc>
          <w:tcPr>
            <w:tcW w:w="9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1</w:t>
            </w:r>
          </w:p>
        </w:tc>
        <w:tc>
          <w:tcPr>
            <w:tcW w:w="34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UC-37</w:t>
            </w:r>
          </w:p>
        </w:tc>
      </w:tr>
      <w:tr>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Profiles</w:t>
            </w:r>
          </w:p>
        </w:tc>
        <w:tc>
          <w:tcPr>
            <w:tcW w:w="2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Sourcing, CV &amp; Talent Intelligence</w:t>
            </w:r>
          </w:p>
        </w:tc>
        <w:tc>
          <w:tcPr>
            <w:tcW w:w="9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1</w:t>
            </w:r>
          </w:p>
        </w:tc>
        <w:tc>
          <w:tcPr>
            <w:tcW w:w="34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UC-38</w:t>
            </w:r>
          </w:p>
        </w:tc>
      </w:tr>
      <w:tr>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CV</w:t>
            </w:r>
          </w:p>
        </w:tc>
        <w:tc>
          <w:tcPr>
            <w:tcW w:w="2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Sourcing, CV &amp; Talent Intelligence</w:t>
            </w:r>
          </w:p>
        </w:tc>
        <w:tc>
          <w:tcPr>
            <w:tcW w:w="9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2</w:t>
            </w:r>
          </w:p>
        </w:tc>
        <w:tc>
          <w:tcPr>
            <w:tcW w:w="34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UC-39, UC-40</w:t>
            </w:r>
          </w:p>
        </w:tc>
      </w:tr>
      <w:tr>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CV / AI</w:t>
            </w:r>
          </w:p>
        </w:tc>
        <w:tc>
          <w:tcPr>
            <w:tcW w:w="2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Sourcing, CV &amp; Talent Intelligence</w:t>
            </w:r>
          </w:p>
        </w:tc>
        <w:tc>
          <w:tcPr>
            <w:tcW w:w="9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2</w:t>
            </w:r>
          </w:p>
        </w:tc>
        <w:tc>
          <w:tcPr>
            <w:tcW w:w="34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UC-41, UC-42</w:t>
            </w:r>
          </w:p>
        </w:tc>
      </w:tr>
      <w:tr>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Talent Search</w:t>
            </w:r>
          </w:p>
        </w:tc>
        <w:tc>
          <w:tcPr>
            <w:tcW w:w="2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Sourcing, CV &amp; Talent Intelligence</w:t>
            </w:r>
          </w:p>
        </w:tc>
        <w:tc>
          <w:tcPr>
            <w:tcW w:w="9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2</w:t>
            </w:r>
          </w:p>
        </w:tc>
        <w:tc>
          <w:tcPr>
            <w:tcW w:w="34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UC-43, UC-44</w:t>
            </w:r>
          </w:p>
        </w:tc>
      </w:tr>
      <w:tr>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Profiles / Evidence</w:t>
            </w:r>
          </w:p>
        </w:tc>
        <w:tc>
          <w:tcPr>
            <w:tcW w:w="2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Sourcing, CV &amp; Talent Intelligence</w:t>
            </w:r>
          </w:p>
        </w:tc>
        <w:tc>
          <w:tcPr>
            <w:tcW w:w="9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1</w:t>
            </w:r>
          </w:p>
        </w:tc>
        <w:tc>
          <w:tcPr>
            <w:tcW w:w="34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UC-45</w:t>
            </w:r>
          </w:p>
        </w:tc>
      </w:tr>
      <w:tr>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Interview</w:t>
            </w:r>
          </w:p>
        </w:tc>
        <w:tc>
          <w:tcPr>
            <w:tcW w:w="2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Interview, Result &amp; Hiring Decision</w:t>
            </w:r>
          </w:p>
        </w:tc>
        <w:tc>
          <w:tcPr>
            <w:tcW w:w="9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4</w:t>
            </w:r>
          </w:p>
        </w:tc>
        <w:tc>
          <w:tcPr>
            <w:tcW w:w="34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UC-46, UC-47, UC-48, UC-50</w:t>
            </w:r>
          </w:p>
        </w:tc>
      </w:tr>
      <w:tr>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Interview / Notification</w:t>
            </w:r>
          </w:p>
        </w:tc>
        <w:tc>
          <w:tcPr>
            <w:tcW w:w="2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Interview, Result &amp; Hiring Decision</w:t>
            </w:r>
          </w:p>
        </w:tc>
        <w:tc>
          <w:tcPr>
            <w:tcW w:w="9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1</w:t>
            </w:r>
          </w:p>
        </w:tc>
        <w:tc>
          <w:tcPr>
            <w:tcW w:w="34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UC-49</w:t>
            </w:r>
          </w:p>
        </w:tc>
      </w:tr>
      <w:tr>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Interview Results</w:t>
            </w:r>
          </w:p>
        </w:tc>
        <w:tc>
          <w:tcPr>
            <w:tcW w:w="2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Interview, Result &amp; Hiring Decision</w:t>
            </w:r>
          </w:p>
        </w:tc>
        <w:tc>
          <w:tcPr>
            <w:tcW w:w="9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3</w:t>
            </w:r>
          </w:p>
        </w:tc>
        <w:tc>
          <w:tcPr>
            <w:tcW w:w="34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UC-51, UC-52, UC-53</w:t>
            </w:r>
          </w:p>
        </w:tc>
      </w:tr>
      <w:tr>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Hiring Decision</w:t>
            </w:r>
          </w:p>
        </w:tc>
        <w:tc>
          <w:tcPr>
            <w:tcW w:w="2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Interview, Result &amp; Hiring Decision</w:t>
            </w:r>
          </w:p>
        </w:tc>
        <w:tc>
          <w:tcPr>
            <w:tcW w:w="9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1</w:t>
            </w:r>
          </w:p>
        </w:tc>
        <w:tc>
          <w:tcPr>
            <w:tcW w:w="34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UC-54</w:t>
            </w:r>
          </w:p>
        </w:tc>
      </w:tr>
      <w:tr>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Offers</w:t>
            </w:r>
          </w:p>
        </w:tc>
        <w:tc>
          <w:tcPr>
            <w:tcW w:w="2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Offer, Notification &amp; Reporting</w:t>
            </w:r>
          </w:p>
        </w:tc>
        <w:tc>
          <w:tcPr>
            <w:tcW w:w="9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2</w:t>
            </w:r>
          </w:p>
        </w:tc>
        <w:tc>
          <w:tcPr>
            <w:tcW w:w="34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UC-55, UC-56</w:t>
            </w:r>
          </w:p>
        </w:tc>
      </w:tr>
      <w:tr>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Notifications</w:t>
            </w:r>
          </w:p>
        </w:tc>
        <w:tc>
          <w:tcPr>
            <w:tcW w:w="2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Offer, Notification &amp; Reporting</w:t>
            </w:r>
          </w:p>
        </w:tc>
        <w:tc>
          <w:tcPr>
            <w:tcW w:w="9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1</w:t>
            </w:r>
          </w:p>
        </w:tc>
        <w:tc>
          <w:tcPr>
            <w:tcW w:w="34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UC-57</w:t>
            </w:r>
          </w:p>
        </w:tc>
      </w:tr>
      <w:tr>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Dashboard</w:t>
            </w:r>
          </w:p>
        </w:tc>
        <w:tc>
          <w:tcPr>
            <w:tcW w:w="2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Offer, Notification &amp; Reporting</w:t>
            </w:r>
          </w:p>
        </w:tc>
        <w:tc>
          <w:tcPr>
            <w:tcW w:w="9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1</w:t>
            </w:r>
          </w:p>
        </w:tc>
        <w:tc>
          <w:tcPr>
            <w:tcW w:w="34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UC-58</w:t>
            </w:r>
          </w:p>
        </w:tc>
      </w:tr>
      <w:tr>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Reports</w:t>
            </w:r>
          </w:p>
        </w:tc>
        <w:tc>
          <w:tcPr>
            <w:tcW w:w="2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Offer, Notification &amp; Reporting</w:t>
            </w:r>
          </w:p>
        </w:tc>
        <w:tc>
          <w:tcPr>
            <w:tcW w:w="9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1</w:t>
            </w:r>
          </w:p>
        </w:tc>
        <w:tc>
          <w:tcPr>
            <w:tcW w:w="34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UC-59</w:t>
            </w:r>
          </w:p>
        </w:tc>
      </w:tr>
      <w:tr>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Security</w:t>
            </w:r>
          </w:p>
        </w:tc>
        <w:tc>
          <w:tcPr>
            <w:tcW w:w="2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Access, Identity &amp; Governance</w:t>
            </w:r>
          </w:p>
        </w:tc>
        <w:tc>
          <w:tcPr>
            <w:tcW w:w="9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1</w:t>
            </w:r>
          </w:p>
        </w:tc>
        <w:tc>
          <w:tcPr>
            <w:tcW w:w="34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UC-60</w:t>
            </w:r>
          </w:p>
        </w:tc>
      </w:tr>
      <w:tr>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Health</w:t>
            </w:r>
          </w:p>
        </w:tc>
        <w:tc>
          <w:tcPr>
            <w:tcW w:w="2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Access, Identity &amp; Governance</w:t>
            </w:r>
          </w:p>
        </w:tc>
        <w:tc>
          <w:tcPr>
            <w:tcW w:w="9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7"/>
                <w:szCs w:val="17"/>
              </w:rPr>
              <w:t xml:space="preserve">1</w:t>
            </w:r>
          </w:p>
        </w:tc>
        <w:tc>
          <w:tcPr>
            <w:tcW w:w="34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7"/>
                <w:szCs w:val="17"/>
              </w:rPr>
              <w:t xml:space="preserve">UC-61</w:t>
            </w:r>
          </w:p>
        </w:tc>
      </w:tr>
    </w:tbl>
    <w:p>
      <w:pPr>
        <w:spacing w:before="0" w:after="70" w:line="276" w:lineRule="auto"/>
      </w:pPr>
      <w:r>
        <w:rPr>
          <w:rFonts w:ascii="Arial" w:hAnsi="Arial" w:cs="Arial"/>
          <w:color w:val="000000"/>
          <w:sz w:val="21"/>
          <w:szCs w:val="21"/>
        </w:rPr>
        <w:t xml:space="preserve"/>
      </w:r>
    </w:p>
    <w:p>
      <w:pPr>
        <w:keepNext/>
        <w:spacing w:before="260" w:after="120" w:line="276" w:lineRule="auto"/>
      </w:pPr>
      <w:r>
        <w:rPr>
          <w:rFonts w:ascii="Arial" w:hAnsi="Arial" w:cs="Arial"/>
          <w:b/>
          <w:bCs/>
          <w:color w:val="1F4E79"/>
          <w:sz w:val="25"/>
          <w:szCs w:val="25"/>
        </w:rPr>
        <w:t xml:space="preserve">2.5 Actor Coverage Matrix</w:t>
      </w:r>
    </w:p>
    <w:tbl>
      <w:tblPr>
        <w:tblW w:w="9000" w:type="dxa"/>
        <w:tblLayout w:type="fixed"/>
        <w:tblBorders>
          <w:top w:val="single" w:sz="4" w:color="9FBAD0"/>
          <w:left w:val="single" w:sz="4" w:color="9FBAD0"/>
          <w:bottom w:val="single" w:sz="4" w:color="9FBAD0"/>
          <w:right w:val="single" w:sz="4" w:color="9FBAD0"/>
          <w:insideH w:val="single" w:sz="4" w:color="D9E2EA"/>
          <w:insideV w:val="single" w:sz="4" w:color="D9E2EA"/>
        </w:tblBorders>
        <w:tblCellMar>
          <w:top w:w="80" w:type="dxa"/>
          <w:left w:w="95" w:type="dxa"/>
          <w:bottom w:w="80" w:type="dxa"/>
          <w:right w:w="95" w:type="dxa"/>
        </w:tblCellMar>
      </w:tblPr>
      <w:tblGrid>
        <w:gridCol w:w="2100"/>
        <w:gridCol w:w="1450"/>
        <w:gridCol w:w="1450"/>
        <w:gridCol w:w="1450"/>
        <w:gridCol w:w="1450"/>
        <w:gridCol w:w="1100"/>
      </w:tblGrid>
      <w:tr>
        <w:trPr>
          <w:tblHeader/>
        </w:trPr>
        <w:tc>
          <w:tcPr>
            <w:tcW w:w="21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Coverage Group</w:t>
            </w:r>
          </w:p>
        </w:tc>
        <w:tc>
          <w:tcPr>
            <w:tcW w:w="145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Admin</w:t>
            </w:r>
          </w:p>
        </w:tc>
        <w:tc>
          <w:tcPr>
            <w:tcW w:w="145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HR</w:t>
            </w:r>
          </w:p>
        </w:tc>
        <w:tc>
          <w:tcPr>
            <w:tcW w:w="145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Department Head</w:t>
            </w:r>
          </w:p>
        </w:tc>
        <w:tc>
          <w:tcPr>
            <w:tcW w:w="145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Candidate</w:t>
            </w:r>
          </w:p>
        </w:tc>
        <w:tc>
          <w:tcPr>
            <w:tcW w:w="11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System / Worker</w:t>
            </w:r>
          </w:p>
        </w:tc>
      </w:tr>
      <w:tr>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Access, Identity &amp; Governance</w:t>
            </w:r>
          </w:p>
        </w:tc>
        <w:tc>
          <w:tcPr>
            <w:tcW w:w="14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UC-03, UC-04, UC-05, UC-06, UC-07, UC-08, UC-09, UC-10, UC-11, UC-12, UC-13, UC-14, UC-60, UC-61</w:t>
            </w:r>
          </w:p>
        </w:tc>
        <w:tc>
          <w:tcPr>
            <w:tcW w:w="14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UC-03, UC-04, UC-05, UC-06, UC-07, UC-08, UC-09, UC-60</w:t>
            </w:r>
          </w:p>
        </w:tc>
        <w:tc>
          <w:tcPr>
            <w:tcW w:w="14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UC-03, UC-04, UC-05, UC-06, UC-07, UC-08, UC-09, UC-15, UC-60</w:t>
            </w:r>
          </w:p>
        </w:tc>
        <w:tc>
          <w:tcPr>
            <w:tcW w:w="14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UC-01, UC-02, UC-03, UC-04, UC-05, UC-06, UC-07, UC-08, UC-11, UC-60</w:t>
            </w:r>
          </w:p>
        </w:tc>
        <w:tc>
          <w:tcPr>
            <w:tcW w:w="1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UC-61</w:t>
            </w:r>
          </w:p>
        </w:tc>
      </w:tr>
      <w:tr>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Recruitment Request &amp; Planning</w:t>
            </w:r>
          </w:p>
        </w:tc>
        <w:tc>
          <w:tcPr>
            <w:tcW w:w="14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UC-19, UC-21, UC-23, UC-24, UC-27, UC-32</w:t>
            </w:r>
          </w:p>
        </w:tc>
        <w:tc>
          <w:tcPr>
            <w:tcW w:w="14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UC-17, UC-19, UC-20, UC-22, UC-23, UC-24, UC-25, UC-26, UC-28, UC-29, UC-30, UC-31, UC-32</w:t>
            </w:r>
          </w:p>
        </w:tc>
        <w:tc>
          <w:tcPr>
            <w:tcW w:w="14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UC-16, UC-17, UC-18, UC-24, UC-32</w:t>
            </w:r>
          </w:p>
        </w:tc>
        <w:tc>
          <w:tcPr>
            <w:tcW w:w="14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UC-32</w:t>
            </w:r>
          </w:p>
        </w:tc>
        <w:tc>
          <w:tcPr>
            <w:tcW w:w="1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w:t>
            </w:r>
          </w:p>
        </w:tc>
      </w:tr>
      <w:tr>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Sourcing, CV &amp; Talent Intelligence</w:t>
            </w:r>
          </w:p>
        </w:tc>
        <w:tc>
          <w:tcPr>
            <w:tcW w:w="14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UC-33, UC-35, UC-36, UC-37, UC-38, UC-40, UC-42, UC-43, UC-44, UC-45</w:t>
            </w:r>
          </w:p>
        </w:tc>
        <w:tc>
          <w:tcPr>
            <w:tcW w:w="14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UC-33, UC-35, UC-36, UC-37, UC-38, UC-40, UC-42, UC-43, UC-44, UC-45</w:t>
            </w:r>
          </w:p>
        </w:tc>
        <w:tc>
          <w:tcPr>
            <w:tcW w:w="14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UC-35, UC-36, UC-37, UC-40, UC-45</w:t>
            </w:r>
          </w:p>
        </w:tc>
        <w:tc>
          <w:tcPr>
            <w:tcW w:w="14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UC-34, UC-35, UC-36, UC-37, UC-38, UC-39, UC-45</w:t>
            </w:r>
          </w:p>
        </w:tc>
        <w:tc>
          <w:tcPr>
            <w:tcW w:w="1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UC-41</w:t>
            </w:r>
          </w:p>
        </w:tc>
      </w:tr>
      <w:tr>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Interview, Result &amp; Hiring Decision</w:t>
            </w:r>
          </w:p>
        </w:tc>
        <w:tc>
          <w:tcPr>
            <w:tcW w:w="14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UC-48, UC-49, UC-50, UC-53, UC-54</w:t>
            </w:r>
          </w:p>
        </w:tc>
        <w:tc>
          <w:tcPr>
            <w:tcW w:w="14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UC-46, UC-48, UC-49, UC-50, UC-51, UC-52</w:t>
            </w:r>
          </w:p>
        </w:tc>
        <w:tc>
          <w:tcPr>
            <w:tcW w:w="14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UC-50, UC-51</w:t>
            </w:r>
          </w:p>
        </w:tc>
        <w:tc>
          <w:tcPr>
            <w:tcW w:w="14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UC-47</w:t>
            </w:r>
          </w:p>
        </w:tc>
        <w:tc>
          <w:tcPr>
            <w:tcW w:w="1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w:t>
            </w:r>
          </w:p>
        </w:tc>
      </w:tr>
      <w:tr>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Offer, Notification &amp; Reporting</w:t>
            </w:r>
          </w:p>
        </w:tc>
        <w:tc>
          <w:tcPr>
            <w:tcW w:w="14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UC-55, UC-57, UC-58, UC-59</w:t>
            </w:r>
          </w:p>
        </w:tc>
        <w:tc>
          <w:tcPr>
            <w:tcW w:w="14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UC-55, UC-57, UC-58, UC-59</w:t>
            </w:r>
          </w:p>
        </w:tc>
        <w:tc>
          <w:tcPr>
            <w:tcW w:w="14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UC-57, UC-58, UC-59</w:t>
            </w:r>
          </w:p>
        </w:tc>
        <w:tc>
          <w:tcPr>
            <w:tcW w:w="14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UC-56, UC-57, UC-58</w:t>
            </w:r>
          </w:p>
        </w:tc>
        <w:tc>
          <w:tcPr>
            <w:tcW w:w="1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5"/>
                <w:szCs w:val="15"/>
              </w:rPr>
              <w:t xml:space="preserve">-</w:t>
            </w:r>
          </w:p>
        </w:tc>
      </w:tr>
    </w:tbl>
    <w:p>
      <w:pPr>
        <w:spacing w:before="0" w:after="70" w:line="276" w:lineRule="auto"/>
      </w:pPr>
      <w:r>
        <w:rPr>
          <w:rFonts w:ascii="Arial" w:hAnsi="Arial" w:cs="Arial"/>
          <w:color w:val="000000"/>
          <w:sz w:val="21"/>
          <w:szCs w:val="21"/>
        </w:rPr>
        <w:t xml:space="preserve"/>
      </w:r>
    </w:p>
    <w:p>
      <w:r>
        <w:br w:type="page"/>
      </w:r>
    </w:p>
    <w:p>
      <w:pPr>
        <w:keepNext/>
        <w:spacing w:before="360" w:after="160" w:line="276" w:lineRule="auto"/>
      </w:pPr>
      <w:r>
        <w:rPr>
          <w:rFonts w:ascii="Arial" w:hAnsi="Arial" w:cs="Arial"/>
          <w:b/>
          <w:bCs/>
          <w:color w:val="1F4E79"/>
          <w:sz w:val="31"/>
          <w:szCs w:val="31"/>
        </w:rPr>
        <w:t xml:space="preserve">3. Full Use Case Catalog</w:t>
      </w:r>
    </w:p>
    <w:p>
      <w:pPr>
        <w:spacing w:before="0" w:after="120" w:line="276" w:lineRule="auto"/>
      </w:pPr>
      <w:r>
        <w:rPr>
          <w:rFonts w:ascii="Arial" w:hAnsi="Arial" w:cs="Arial"/>
          <w:color w:val="000000"/>
          <w:sz w:val="20"/>
          <w:szCs w:val="20"/>
        </w:rPr>
        <w:t xml:space="preserve">This catalog preserves all UC IDs, names, primary actors and module labels from the source specification. It is the baseline traceability table for the rest of the RDS document.</w:t>
      </w:r>
    </w:p>
    <w:tbl>
      <w:tblPr>
        <w:tblW w:w="9000" w:type="dxa"/>
        <w:tblLayout w:type="fixed"/>
        <w:tblBorders>
          <w:top w:val="single" w:sz="4" w:color="9FBAD0"/>
          <w:left w:val="single" w:sz="4" w:color="9FBAD0"/>
          <w:bottom w:val="single" w:sz="4" w:color="9FBAD0"/>
          <w:right w:val="single" w:sz="4" w:color="9FBAD0"/>
          <w:insideH w:val="single" w:sz="4" w:color="D9E2EA"/>
          <w:insideV w:val="single" w:sz="4" w:color="D9E2EA"/>
        </w:tblBorders>
        <w:tblCellMar>
          <w:top w:w="80" w:type="dxa"/>
          <w:left w:w="95" w:type="dxa"/>
          <w:bottom w:w="80" w:type="dxa"/>
          <w:right w:w="95" w:type="dxa"/>
        </w:tblCellMar>
      </w:tblPr>
      <w:tblGrid>
        <w:gridCol w:w="850"/>
        <w:gridCol w:w="2850"/>
        <w:gridCol w:w="1900"/>
        <w:gridCol w:w="1600"/>
        <w:gridCol w:w="1800"/>
      </w:tblGrid>
      <w:tr>
        <w:trPr>
          <w:tblHeader/>
        </w:trPr>
        <w:tc>
          <w:tcPr>
            <w:tcW w:w="85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UC ID</w:t>
            </w:r>
          </w:p>
        </w:tc>
        <w:tc>
          <w:tcPr>
            <w:tcW w:w="285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Use Case</w:t>
            </w:r>
          </w:p>
        </w:tc>
        <w:tc>
          <w:tcPr>
            <w:tcW w:w="19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Primary Actor</w:t>
            </w:r>
          </w:p>
        </w:tc>
        <w:tc>
          <w:tcPr>
            <w:tcW w:w="16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Module / Feature</w:t>
            </w:r>
          </w:p>
        </w:tc>
        <w:tc>
          <w:tcPr>
            <w:tcW w:w="18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Coverage Group</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UC-01</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Register Account</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Candidate</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Auth</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Access, Identity &amp; Governance</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UC-02</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Verify Registration Email / Resend OTP</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Candidate</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Auth</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Access, Identity &amp; Governance</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UC-03</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Login</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All Users</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Auth</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Access, Identity &amp; Governance</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UC-04</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Login/Register with Supabase or Google Session</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All Users</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Auth</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Access, Identity &amp; Governance</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UC-05</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Refresh Session</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Authenticated User</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Auth</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Access, Identity &amp; Governance</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UC-06</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Logout</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Authenticated User</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Auth</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Access, Identity &amp; Governance</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UC-07</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Reset Password</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All Users</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Auth</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Access, Identity &amp; Governance</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UC-08</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View and Update Own Profile</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Authenticated User</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Identity</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Access, Identity &amp; Governance</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UC-09</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Connect Google Calendar and Create Meet Link</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Admin, HR, Department Head</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Identity / Calendar</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Access, Identity &amp; Governance</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UC-10</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Manage Users and Roles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Admin</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Identity</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Access, Identity &amp; Governance</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UC-11</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Check User Email Availability</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Admin, Public Registration Flow</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Identity</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Access, Identity &amp; Governance</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UC-12</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Manage Organizations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Admin</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Identity</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Access, Identity &amp; Governance</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UC-13</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Manage Organization Settings</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Admin</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Identity</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Access, Identity &amp; Governance</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UC-14</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Manage Departments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Admin</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Identity</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Access, Identity &amp; Governance</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UC-15</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Manage Department Team Members</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Department Head</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Identity</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Access, Identity &amp; Governance</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UC-16</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Create Recruitment Request</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Department Head</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Recruiting</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Recruitment Request &amp; Planning</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UC-17</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Update Recruitment Request</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Department Head, HR</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Recruiting</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Recruitment Request &amp; Planning</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UC-18</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Submit Recruitment Request</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Department Head</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Recruiting</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Recruitment Request &amp; Planning</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UC-19</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Assign Recruitment Request to HR</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Admin, HR</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Recruiting</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Recruitment Request &amp; Planning</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UC-20</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Return Recruitment Request for Revision</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HR</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Recruiting</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Recruitment Request &amp; Planning</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UC-21</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Request Changes from HR</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Admin</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Recruiting</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Recruitment Request &amp; Planning</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UC-22</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Forward Recruitment Request to Admin</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HR</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Recruiting</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Recruitment Request &amp; Planning</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UC-23</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Make Recruitment Request Decision</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Admin, HR (workflow-scoped)</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Recruiting</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Recruitment Request &amp; Planning</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UC-24</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Track Recruitment Request and Audit Logs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Admin, HR, Department Head</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Recruiting / Audit</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Recruitment Request &amp; Planning</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UC-25</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Create Overall Plan</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HR</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Planning</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Recruitment Request &amp; Planning</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UC-26</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Submit / Resubmit Overall Plan</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HR</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Planning</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Recruitment Request &amp; Planning</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UC-27</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Approve / Reject Overall Plan</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Admin</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Planning</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Recruitment Request &amp; Planning</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UC-28</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Start Campaign</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HR</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Planning</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Recruitment Request &amp; Planning</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UC-29</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Create and Update Task Plan</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HR</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Task Planning</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Recruitment Request &amp; Planning</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UC-30</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Assign HR Task</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HR</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Task Planning</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Recruitment Request &amp; Planning</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UC-31</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Update Task Status</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HR</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Task Planning</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Recruitment Request &amp; Planning</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UC-32</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Manage Roles / Job Descriptions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Authenticated User</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Recruiting</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Recruitment Request &amp; Planning</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UC-33</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Manage Job Postings and Media</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HR, Admin</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Job Posting</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Sourcing, CV &amp; Talent Intelligence</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UC-34</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Browse Public Job Postings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Candidate, Public User</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Job Posting</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Sourcing, CV &amp; Talent Intelligence</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UC-35</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Manage Applications</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Authenticated User</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Applications</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Sourcing, CV &amp; Talent Intelligence</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UC-36</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Manage Invites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Authenticated User</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Applications</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Sourcing, CV &amp; Talent Intelligence</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UC-37</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Trigger and View Evaluations</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Authenticated User</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Evaluations</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Sourcing, CV &amp; Talent Intelligence</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UC-38</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Manage Candidate Profile and Avatar</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Candidate, HR, Admin</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Profiles</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Sourcing, CV &amp; Talent Intelligence</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UC-39</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Upload and Manage Candidate CV</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Candidate</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CV</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Sourcing, CV &amp; Talent Intelligence</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UC-40</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View Latest Candidate CV</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Admin, HR, Department Head</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CV</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Sourcing, CV &amp; Talent Intelligence</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UC-41</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Parse CV and Generate Embeddings</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System / Worker</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CV / AI</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Sourcing, CV &amp; Talent Intelligence</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UC-42</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Search and Screen CV</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HR, Admin</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CV / AI</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Sourcing, CV &amp; Talent Intelligence</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UC-43</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Search Talent and Record Search Feedback</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HR, Admin</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Talent Search</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Sourcing, CV &amp; Talent Intelligence</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UC-44</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Expand Talent Query / Export Feedback Triplets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HR, Admin</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Talent Search</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Sourcing, CV &amp; Talent Intelligence</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UC-45</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Upload and View Documents / Evidence</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Authenticated User</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Profiles / Evidence</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Sourcing, CV &amp; Talent Intelligence</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UC-46</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Schedule Interview</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HR</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Interview</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Interview, Result &amp; Hiring Decision</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UC-47</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Candidate Confirm / Request Reschedule / Cancel Interview</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Candidate</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Interview</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Interview, Result &amp; Hiring Decision</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UC-48</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Reschedule or Cancel Interview</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HR, Admin (cancel)</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Interview</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Interview, Result &amp; Hiring Decision</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UC-49</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Send Interview Invitations and View Email Logs</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HR, Admin</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Interview / Notification</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Interview, Result &amp; Hiring Decision</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UC-50</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View Completed Interviews and Interview Details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Admin, HR, Department Head</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Interview</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Interview, Result &amp; Hiring Decision</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UC-51</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Submit Interview Panel Feedback</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HR, Department Head</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Interview Results</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Interview, Result &amp; Hiring Decision</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UC-52</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Record Interview Result and Final Recommendation</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HR</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Interview Results</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Interview, Result &amp; Hiring Decision</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UC-53</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Admin Review Interview Results</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Admin</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Interview Results</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Interview, Result &amp; Hiring Decision</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UC-54</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Make Final Hiring Decision / Request More Information</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Admin</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Hiring Decision</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Interview, Result &amp; Hiring Decision</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UC-55</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Generate, View and Send Offer Letter</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HR, Admin</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Offers</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Offer, Notification &amp; Reporting</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UC-56</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Respond to Offer</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Candidate</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Offers</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Offer, Notification &amp; Reporting</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UC-57</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Manage Notifications</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Authenticated User</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Notifications</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Offer, Notification &amp; Reporting</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UC-58</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View Dashboards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All Users</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Dashboard</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Offer, Notification &amp; Reporting</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UC-59</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View Reports and Export Annual Report</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Admin, HR, Department Head</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Reports</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Offer, Notification &amp; Reporting</w:t>
            </w:r>
          </w:p>
        </w:tc>
      </w:tr>
      <w:tr>
        <w:tc>
          <w:tcPr>
            <w:tcW w:w="8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UC-60</w:t>
            </w:r>
          </w:p>
        </w:tc>
        <w:tc>
          <w:tcPr>
            <w:tcW w:w="28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Access Protected Route / API</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Authenticated User</w:t>
            </w:r>
          </w:p>
        </w:tc>
        <w:tc>
          <w:tcPr>
            <w:tcW w:w="16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Security</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Access, Identity &amp; Governance</w:t>
            </w:r>
          </w:p>
        </w:tc>
      </w:tr>
      <w:tr>
        <w:tc>
          <w:tcPr>
            <w:tcW w:w="8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6"/>
                <w:szCs w:val="16"/>
              </w:rPr>
              <w:t xml:space="preserve">UC-61</w:t>
            </w:r>
          </w:p>
        </w:tc>
        <w:tc>
          <w:tcPr>
            <w:tcW w:w="28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Monitor System Health</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Admin, System</w:t>
            </w:r>
          </w:p>
        </w:tc>
        <w:tc>
          <w:tcPr>
            <w:tcW w:w="16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Health</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6"/>
                <w:szCs w:val="16"/>
              </w:rPr>
              <w:t xml:space="preserve">Access, Identity &amp; Governance</w:t>
            </w:r>
          </w:p>
        </w:tc>
      </w:tr>
    </w:tbl>
    <w:p>
      <w:pPr>
        <w:spacing w:before="0" w:after="70" w:line="276" w:lineRule="auto"/>
      </w:pPr>
      <w:r>
        <w:rPr>
          <w:rFonts w:ascii="Arial" w:hAnsi="Arial" w:cs="Arial"/>
          <w:color w:val="000000"/>
          <w:sz w:val="21"/>
          <w:szCs w:val="21"/>
        </w:rPr>
        <w:t xml:space="preserve"/>
      </w:r>
    </w:p>
    <w:p>
      <w:r>
        <w:br w:type="page"/>
      </w:r>
    </w:p>
    <w:p>
      <w:pPr>
        <w:keepNext/>
        <w:spacing w:before="360" w:after="160" w:line="276" w:lineRule="auto"/>
      </w:pPr>
      <w:r>
        <w:rPr>
          <w:rFonts w:ascii="Arial" w:hAnsi="Arial" w:cs="Arial"/>
          <w:b/>
          <w:bCs/>
          <w:color w:val="1F4E79"/>
          <w:sz w:val="31"/>
          <w:szCs w:val="31"/>
        </w:rPr>
        <w:t xml:space="preserve">4. Compact Use Case Specifications</w:t>
      </w:r>
    </w:p>
    <w:p>
      <w:pPr>
        <w:spacing w:before="0" w:after="120" w:line="276" w:lineRule="auto"/>
      </w:pPr>
      <w:r>
        <w:rPr>
          <w:rFonts w:ascii="Arial" w:hAnsi="Arial" w:cs="Arial"/>
          <w:color w:val="000000"/>
          <w:sz w:val="20"/>
          <w:szCs w:val="20"/>
        </w:rPr>
        <w:t xml:space="preserve">The compact specification below keeps the report readable while still covering every system UC. For each UC, it records the trigger, business goal, resulting state and implementation trace reference from the detailed markdown source.</w:t>
      </w:r>
    </w:p>
    <w:p>
      <w:pPr>
        <w:keepNext/>
        <w:spacing w:before="260" w:after="120" w:line="276" w:lineRule="auto"/>
      </w:pPr>
      <w:r>
        <w:rPr>
          <w:rFonts w:ascii="Arial" w:hAnsi="Arial" w:cs="Arial"/>
          <w:b/>
          <w:bCs/>
          <w:color w:val="1F4E79"/>
          <w:sz w:val="25"/>
          <w:szCs w:val="25"/>
        </w:rPr>
        <w:t xml:space="preserve">Access, Identity &amp; Governance</w:t>
      </w:r>
    </w:p>
    <w:tbl>
      <w:tblPr>
        <w:tblW w:w="9000" w:type="dxa"/>
        <w:tblLayout w:type="fixed"/>
        <w:tblBorders>
          <w:top w:val="single" w:sz="4" w:color="9FBAD0"/>
          <w:left w:val="single" w:sz="4" w:color="9FBAD0"/>
          <w:bottom w:val="single" w:sz="4" w:color="9FBAD0"/>
          <w:right w:val="single" w:sz="4" w:color="9FBAD0"/>
          <w:insideH w:val="single" w:sz="4" w:color="D9E2EA"/>
          <w:insideV w:val="single" w:sz="4" w:color="D9E2EA"/>
        </w:tblBorders>
        <w:tblCellMar>
          <w:top w:w="80" w:type="dxa"/>
          <w:left w:w="95" w:type="dxa"/>
          <w:bottom w:w="80" w:type="dxa"/>
          <w:right w:w="95" w:type="dxa"/>
        </w:tblCellMar>
      </w:tblPr>
      <w:tblGrid>
        <w:gridCol w:w="650"/>
        <w:gridCol w:w="1800"/>
        <w:gridCol w:w="1900"/>
        <w:gridCol w:w="2100"/>
        <w:gridCol w:w="1550"/>
        <w:gridCol w:w="1000"/>
      </w:tblGrid>
      <w:tr>
        <w:trPr>
          <w:tblHeader/>
        </w:trPr>
        <w:tc>
          <w:tcPr>
            <w:tcW w:w="65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ID</w:t>
            </w:r>
          </w:p>
        </w:tc>
        <w:tc>
          <w:tcPr>
            <w:tcW w:w="18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Use Case</w:t>
            </w:r>
          </w:p>
        </w:tc>
        <w:tc>
          <w:tcPr>
            <w:tcW w:w="19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Trigger</w:t>
            </w:r>
          </w:p>
        </w:tc>
        <w:tc>
          <w:tcPr>
            <w:tcW w:w="21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Goal / Description</w:t>
            </w:r>
          </w:p>
        </w:tc>
        <w:tc>
          <w:tcPr>
            <w:tcW w:w="155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Postcondition</w:t>
            </w:r>
          </w:p>
        </w:tc>
        <w:tc>
          <w:tcPr>
            <w:tcW w:w="10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Trace Reference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UC-01</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Register Account</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UC-02</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Verify Registration Email / Resend OTP</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UC-03</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Login</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UC-04</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Login/Register with Supabase or Google Session</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UC-05</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Refresh Session</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UC-06</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Logout</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UC-07</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Reset Password</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UC-08</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View and Update Own Profile</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UC-09</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Connect Google Calendar and Create Meet Link</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UC-10</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Manage Users and Roles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UC-11</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Check User Email Availability</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UC-12</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Manage Organizations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UC-13</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Manage Organization Settings</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UC-14</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Manage Departments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UC-15</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Manage Department Team Members</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UC-60</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Access Protected Route / API</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UC-61</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Monitor System Health</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bl>
    <w:p>
      <w:pPr>
        <w:spacing w:before="0" w:after="70" w:line="276" w:lineRule="auto"/>
      </w:pPr>
      <w:r>
        <w:rPr>
          <w:rFonts w:ascii="Arial" w:hAnsi="Arial" w:cs="Arial"/>
          <w:color w:val="000000"/>
          <w:sz w:val="21"/>
          <w:szCs w:val="21"/>
        </w:rPr>
        <w:t xml:space="preserve"/>
      </w:r>
    </w:p>
    <w:p>
      <w:pPr>
        <w:keepNext/>
        <w:spacing w:before="260" w:after="120" w:line="276" w:lineRule="auto"/>
      </w:pPr>
      <w:r>
        <w:rPr>
          <w:rFonts w:ascii="Arial" w:hAnsi="Arial" w:cs="Arial"/>
          <w:b/>
          <w:bCs/>
          <w:color w:val="1F4E79"/>
          <w:sz w:val="25"/>
          <w:szCs w:val="25"/>
        </w:rPr>
        <w:t xml:space="preserve">Recruitment Request &amp; Planning</w:t>
      </w:r>
    </w:p>
    <w:tbl>
      <w:tblPr>
        <w:tblW w:w="9000" w:type="dxa"/>
        <w:tblLayout w:type="fixed"/>
        <w:tblBorders>
          <w:top w:val="single" w:sz="4" w:color="9FBAD0"/>
          <w:left w:val="single" w:sz="4" w:color="9FBAD0"/>
          <w:bottom w:val="single" w:sz="4" w:color="9FBAD0"/>
          <w:right w:val="single" w:sz="4" w:color="9FBAD0"/>
          <w:insideH w:val="single" w:sz="4" w:color="D9E2EA"/>
          <w:insideV w:val="single" w:sz="4" w:color="D9E2EA"/>
        </w:tblBorders>
        <w:tblCellMar>
          <w:top w:w="80" w:type="dxa"/>
          <w:left w:w="95" w:type="dxa"/>
          <w:bottom w:w="80" w:type="dxa"/>
          <w:right w:w="95" w:type="dxa"/>
        </w:tblCellMar>
      </w:tblPr>
      <w:tblGrid>
        <w:gridCol w:w="650"/>
        <w:gridCol w:w="1800"/>
        <w:gridCol w:w="1900"/>
        <w:gridCol w:w="2100"/>
        <w:gridCol w:w="1550"/>
        <w:gridCol w:w="1000"/>
      </w:tblGrid>
      <w:tr>
        <w:trPr>
          <w:tblHeader/>
        </w:trPr>
        <w:tc>
          <w:tcPr>
            <w:tcW w:w="65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ID</w:t>
            </w:r>
          </w:p>
        </w:tc>
        <w:tc>
          <w:tcPr>
            <w:tcW w:w="18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Use Case</w:t>
            </w:r>
          </w:p>
        </w:tc>
        <w:tc>
          <w:tcPr>
            <w:tcW w:w="19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Trigger</w:t>
            </w:r>
          </w:p>
        </w:tc>
        <w:tc>
          <w:tcPr>
            <w:tcW w:w="21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Goal / Description</w:t>
            </w:r>
          </w:p>
        </w:tc>
        <w:tc>
          <w:tcPr>
            <w:tcW w:w="155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Postcondition</w:t>
            </w:r>
          </w:p>
        </w:tc>
        <w:tc>
          <w:tcPr>
            <w:tcW w:w="10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Trace Reference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UC-16</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Create Recruitment Request</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UC-17</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Update Recruitment Request</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UC-18</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Submit Recruitment Request</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UC-19</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Assign Recruitment Request to HR</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UC-20</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Return Recruitment Request for Revision</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UC-21</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Request Changes from HR</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UC-22</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Forward Recruitment Request to Admin</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UC-23</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Make Recruitment Request Decision</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UC-24</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Track Recruitment Request and Audit Logs</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UC-25</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Create Overall Plan</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UC-26</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Submit / Resubmit Overall Plan</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UC-27</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Approve / Reject Overall Plan</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UC-28</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Start Campaign</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UC-29</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Create and Update Task Plan</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UC-30</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Assign HR Task</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UC-31</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Update Task Status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UC-32</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Manage Roles / Job Descriptions</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bl>
    <w:p>
      <w:pPr>
        <w:spacing w:before="0" w:after="70" w:line="276" w:lineRule="auto"/>
      </w:pPr>
      <w:r>
        <w:rPr>
          <w:rFonts w:ascii="Arial" w:hAnsi="Arial" w:cs="Arial"/>
          <w:color w:val="000000"/>
          <w:sz w:val="21"/>
          <w:szCs w:val="21"/>
        </w:rPr>
        <w:t xml:space="preserve"/>
      </w:r>
    </w:p>
    <w:p>
      <w:pPr>
        <w:keepNext/>
        <w:spacing w:before="260" w:after="120" w:line="276" w:lineRule="auto"/>
      </w:pPr>
      <w:r>
        <w:rPr>
          <w:rFonts w:ascii="Arial" w:hAnsi="Arial" w:cs="Arial"/>
          <w:b/>
          <w:bCs/>
          <w:color w:val="1F4E79"/>
          <w:sz w:val="25"/>
          <w:szCs w:val="25"/>
        </w:rPr>
        <w:t xml:space="preserve">Sourcing, CV &amp; Talent Intelligence</w:t>
      </w:r>
    </w:p>
    <w:tbl>
      <w:tblPr>
        <w:tblW w:w="9000" w:type="dxa"/>
        <w:tblLayout w:type="fixed"/>
        <w:tblBorders>
          <w:top w:val="single" w:sz="4" w:color="9FBAD0"/>
          <w:left w:val="single" w:sz="4" w:color="9FBAD0"/>
          <w:bottom w:val="single" w:sz="4" w:color="9FBAD0"/>
          <w:right w:val="single" w:sz="4" w:color="9FBAD0"/>
          <w:insideH w:val="single" w:sz="4" w:color="D9E2EA"/>
          <w:insideV w:val="single" w:sz="4" w:color="D9E2EA"/>
        </w:tblBorders>
        <w:tblCellMar>
          <w:top w:w="80" w:type="dxa"/>
          <w:left w:w="95" w:type="dxa"/>
          <w:bottom w:w="80" w:type="dxa"/>
          <w:right w:w="95" w:type="dxa"/>
        </w:tblCellMar>
      </w:tblPr>
      <w:tblGrid>
        <w:gridCol w:w="650"/>
        <w:gridCol w:w="1800"/>
        <w:gridCol w:w="1900"/>
        <w:gridCol w:w="2100"/>
        <w:gridCol w:w="1550"/>
        <w:gridCol w:w="1000"/>
      </w:tblGrid>
      <w:tr>
        <w:trPr>
          <w:tblHeader/>
        </w:trPr>
        <w:tc>
          <w:tcPr>
            <w:tcW w:w="65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ID</w:t>
            </w:r>
          </w:p>
        </w:tc>
        <w:tc>
          <w:tcPr>
            <w:tcW w:w="18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Use Case</w:t>
            </w:r>
          </w:p>
        </w:tc>
        <w:tc>
          <w:tcPr>
            <w:tcW w:w="19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Trigger</w:t>
            </w:r>
          </w:p>
        </w:tc>
        <w:tc>
          <w:tcPr>
            <w:tcW w:w="21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Goal / Description</w:t>
            </w:r>
          </w:p>
        </w:tc>
        <w:tc>
          <w:tcPr>
            <w:tcW w:w="155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Postcondition</w:t>
            </w:r>
          </w:p>
        </w:tc>
        <w:tc>
          <w:tcPr>
            <w:tcW w:w="10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Trace Reference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UC-33</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Manage Job Postings and Media</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UC-34</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Browse Public Job Postings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UC-35</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Manage Applications</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UC-36</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Manage Invites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UC-37</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Trigger and View Evaluations</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UC-38</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Manage Candidate Profile and Avatar</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UC-39</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Upload and Manage Candidate CV</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UC-40</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View Latest Candidate CV</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UC-41</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Parse CV and Generate Embeddings</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UC-42</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Search and Screen CV</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UC-43</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Search Talent and Record Search Feedback</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UC-44</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Expand Talent Query / Export Feedback Triplets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UC-45</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Upload and View Documents / Evidence</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bl>
    <w:p>
      <w:pPr>
        <w:spacing w:before="0" w:after="70" w:line="276" w:lineRule="auto"/>
      </w:pPr>
      <w:r>
        <w:rPr>
          <w:rFonts w:ascii="Arial" w:hAnsi="Arial" w:cs="Arial"/>
          <w:color w:val="000000"/>
          <w:sz w:val="21"/>
          <w:szCs w:val="21"/>
        </w:rPr>
        <w:t xml:space="preserve"/>
      </w:r>
    </w:p>
    <w:p>
      <w:pPr>
        <w:keepNext/>
        <w:spacing w:before="260" w:after="120" w:line="276" w:lineRule="auto"/>
      </w:pPr>
      <w:r>
        <w:rPr>
          <w:rFonts w:ascii="Arial" w:hAnsi="Arial" w:cs="Arial"/>
          <w:b/>
          <w:bCs/>
          <w:color w:val="1F4E79"/>
          <w:sz w:val="25"/>
          <w:szCs w:val="25"/>
        </w:rPr>
        <w:t xml:space="preserve">Interview, Result &amp; Hiring Decision</w:t>
      </w:r>
    </w:p>
    <w:tbl>
      <w:tblPr>
        <w:tblW w:w="9000" w:type="dxa"/>
        <w:tblLayout w:type="fixed"/>
        <w:tblBorders>
          <w:top w:val="single" w:sz="4" w:color="9FBAD0"/>
          <w:left w:val="single" w:sz="4" w:color="9FBAD0"/>
          <w:bottom w:val="single" w:sz="4" w:color="9FBAD0"/>
          <w:right w:val="single" w:sz="4" w:color="9FBAD0"/>
          <w:insideH w:val="single" w:sz="4" w:color="D9E2EA"/>
          <w:insideV w:val="single" w:sz="4" w:color="D9E2EA"/>
        </w:tblBorders>
        <w:tblCellMar>
          <w:top w:w="80" w:type="dxa"/>
          <w:left w:w="95" w:type="dxa"/>
          <w:bottom w:w="80" w:type="dxa"/>
          <w:right w:w="95" w:type="dxa"/>
        </w:tblCellMar>
      </w:tblPr>
      <w:tblGrid>
        <w:gridCol w:w="650"/>
        <w:gridCol w:w="1800"/>
        <w:gridCol w:w="1900"/>
        <w:gridCol w:w="2100"/>
        <w:gridCol w:w="1550"/>
        <w:gridCol w:w="1000"/>
      </w:tblGrid>
      <w:tr>
        <w:trPr>
          <w:tblHeader/>
        </w:trPr>
        <w:tc>
          <w:tcPr>
            <w:tcW w:w="65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ID</w:t>
            </w:r>
          </w:p>
        </w:tc>
        <w:tc>
          <w:tcPr>
            <w:tcW w:w="18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Use Case</w:t>
            </w:r>
          </w:p>
        </w:tc>
        <w:tc>
          <w:tcPr>
            <w:tcW w:w="19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Trigger</w:t>
            </w:r>
          </w:p>
        </w:tc>
        <w:tc>
          <w:tcPr>
            <w:tcW w:w="21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Goal / Description</w:t>
            </w:r>
          </w:p>
        </w:tc>
        <w:tc>
          <w:tcPr>
            <w:tcW w:w="155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Postcondition</w:t>
            </w:r>
          </w:p>
        </w:tc>
        <w:tc>
          <w:tcPr>
            <w:tcW w:w="10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Trace Reference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UC-46</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Schedule Interview</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UC-47</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Candidate Confirm / Request Reschedule / Cancel Interview</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UC-48</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Reschedule or Cancel Interview</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UC-49</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Send Interview Invitations and View Email Logs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UC-50</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View Completed Interviews and Interview Details</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UC-51</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Submit Interview Panel Feedback</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UC-52</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Record Interview Result and Final Recommendation</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UC-53</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Admin Review Interview Results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UC-54</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Make Final Hiring Decision / Request More Information</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bl>
    <w:p>
      <w:pPr>
        <w:spacing w:before="0" w:after="70" w:line="276" w:lineRule="auto"/>
      </w:pPr>
      <w:r>
        <w:rPr>
          <w:rFonts w:ascii="Arial" w:hAnsi="Arial" w:cs="Arial"/>
          <w:color w:val="000000"/>
          <w:sz w:val="21"/>
          <w:szCs w:val="21"/>
        </w:rPr>
        <w:t xml:space="preserve"/>
      </w:r>
    </w:p>
    <w:p>
      <w:pPr>
        <w:keepNext/>
        <w:spacing w:before="260" w:after="120" w:line="276" w:lineRule="auto"/>
      </w:pPr>
      <w:r>
        <w:rPr>
          <w:rFonts w:ascii="Arial" w:hAnsi="Arial" w:cs="Arial"/>
          <w:b/>
          <w:bCs/>
          <w:color w:val="1F4E79"/>
          <w:sz w:val="25"/>
          <w:szCs w:val="25"/>
        </w:rPr>
        <w:t xml:space="preserve">Offer, Notification &amp; Reporting</w:t>
      </w:r>
    </w:p>
    <w:tbl>
      <w:tblPr>
        <w:tblW w:w="9000" w:type="dxa"/>
        <w:tblLayout w:type="fixed"/>
        <w:tblBorders>
          <w:top w:val="single" w:sz="4" w:color="9FBAD0"/>
          <w:left w:val="single" w:sz="4" w:color="9FBAD0"/>
          <w:bottom w:val="single" w:sz="4" w:color="9FBAD0"/>
          <w:right w:val="single" w:sz="4" w:color="9FBAD0"/>
          <w:insideH w:val="single" w:sz="4" w:color="D9E2EA"/>
          <w:insideV w:val="single" w:sz="4" w:color="D9E2EA"/>
        </w:tblBorders>
        <w:tblCellMar>
          <w:top w:w="80" w:type="dxa"/>
          <w:left w:w="95" w:type="dxa"/>
          <w:bottom w:w="80" w:type="dxa"/>
          <w:right w:w="95" w:type="dxa"/>
        </w:tblCellMar>
      </w:tblPr>
      <w:tblGrid>
        <w:gridCol w:w="650"/>
        <w:gridCol w:w="1800"/>
        <w:gridCol w:w="1900"/>
        <w:gridCol w:w="2100"/>
        <w:gridCol w:w="1550"/>
        <w:gridCol w:w="1000"/>
      </w:tblGrid>
      <w:tr>
        <w:trPr>
          <w:tblHeader/>
        </w:trPr>
        <w:tc>
          <w:tcPr>
            <w:tcW w:w="65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ID</w:t>
            </w:r>
          </w:p>
        </w:tc>
        <w:tc>
          <w:tcPr>
            <w:tcW w:w="18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Use Case</w:t>
            </w:r>
          </w:p>
        </w:tc>
        <w:tc>
          <w:tcPr>
            <w:tcW w:w="19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Trigger</w:t>
            </w:r>
          </w:p>
        </w:tc>
        <w:tc>
          <w:tcPr>
            <w:tcW w:w="21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Goal / Description</w:t>
            </w:r>
          </w:p>
        </w:tc>
        <w:tc>
          <w:tcPr>
            <w:tcW w:w="155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Postcondition</w:t>
            </w:r>
          </w:p>
        </w:tc>
        <w:tc>
          <w:tcPr>
            <w:tcW w:w="10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Trace Reference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UC-55</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Generate, View and Send Offer Letter</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UC-56</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Respond to Offer</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UC-57</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Manage Notifications</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UC-58</w:t>
            </w:r>
          </w:p>
        </w:tc>
        <w:tc>
          <w:tcPr>
            <w:tcW w:w="18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View Dashboards</w:t>
            </w:r>
          </w:p>
        </w:tc>
        <w:tc>
          <w:tcPr>
            <w:tcW w:w="1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r>
        <w:tc>
          <w:tcPr>
            <w:tcW w:w="65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4"/>
                <w:szCs w:val="14"/>
              </w:rPr>
              <w:t xml:space="preserve">UC-59</w:t>
            </w:r>
          </w:p>
        </w:tc>
        <w:tc>
          <w:tcPr>
            <w:tcW w:w="18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View Reports and Export Annual Report</w:t>
            </w:r>
          </w:p>
        </w:tc>
        <w:tc>
          <w:tcPr>
            <w:tcW w:w="1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21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55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c>
          <w:tcPr>
            <w:tcW w:w="10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4"/>
                <w:szCs w:val="14"/>
              </w:rPr>
              <w:t xml:space="preserve">-</w:t>
            </w:r>
          </w:p>
        </w:tc>
      </w:tr>
    </w:tbl>
    <w:p>
      <w:pPr>
        <w:spacing w:before="0" w:after="70" w:line="276" w:lineRule="auto"/>
      </w:pPr>
      <w:r>
        <w:rPr>
          <w:rFonts w:ascii="Arial" w:hAnsi="Arial" w:cs="Arial"/>
          <w:color w:val="000000"/>
          <w:sz w:val="21"/>
          <w:szCs w:val="21"/>
        </w:rPr>
        <w:t xml:space="preserve"/>
      </w:r>
    </w:p>
    <w:p>
      <w:r>
        <w:br w:type="page"/>
      </w:r>
    </w:p>
    <w:p>
      <w:pPr>
        <w:keepNext/>
        <w:spacing w:before="360" w:after="160" w:line="276" w:lineRule="auto"/>
      </w:pPr>
      <w:r>
        <w:rPr>
          <w:rFonts w:ascii="Arial" w:hAnsi="Arial" w:cs="Arial"/>
          <w:b/>
          <w:bCs/>
          <w:color w:val="1F4E79"/>
          <w:sz w:val="31"/>
          <w:szCs w:val="31"/>
        </w:rPr>
        <w:t xml:space="preserve">5. Cross-Cutting Business Rules</w:t>
      </w:r>
    </w:p>
    <w:p>
      <w:pPr>
        <w:spacing w:before="0" w:after="120" w:line="276" w:lineRule="auto"/>
      </w:pPr>
      <w:r>
        <w:rPr>
          <w:rFonts w:ascii="Arial" w:hAnsi="Arial" w:cs="Arial"/>
          <w:color w:val="000000"/>
          <w:sz w:val="20"/>
          <w:szCs w:val="20"/>
        </w:rPr>
        <w:t xml:space="preserve">These rules apply across multiple UCs and should be referenced by screen design, API authorization, workflow validation and test cases.</w:t>
      </w:r>
    </w:p>
    <w:tbl>
      <w:tblPr>
        <w:tblW w:w="9000" w:type="dxa"/>
        <w:tblLayout w:type="fixed"/>
        <w:tblBorders>
          <w:top w:val="single" w:sz="4" w:color="9FBAD0"/>
          <w:left w:val="single" w:sz="4" w:color="9FBAD0"/>
          <w:bottom w:val="single" w:sz="4" w:color="9FBAD0"/>
          <w:right w:val="single" w:sz="4" w:color="9FBAD0"/>
          <w:insideH w:val="single" w:sz="4" w:color="D9E2EA"/>
          <w:insideV w:val="single" w:sz="4" w:color="D9E2EA"/>
        </w:tblBorders>
        <w:tblCellMar>
          <w:top w:w="80" w:type="dxa"/>
          <w:left w:w="95" w:type="dxa"/>
          <w:bottom w:w="80" w:type="dxa"/>
          <w:right w:w="95" w:type="dxa"/>
        </w:tblCellMar>
      </w:tblPr>
      <w:tblGrid>
        <w:gridCol w:w="1100"/>
        <w:gridCol w:w="7900"/>
      </w:tblGrid>
      <w:tr>
        <w:trPr>
          <w:tblHeader/>
        </w:trPr>
        <w:tc>
          <w:tcPr>
            <w:tcW w:w="11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Rule ID</w:t>
            </w:r>
          </w:p>
        </w:tc>
        <w:tc>
          <w:tcPr>
            <w:tcW w:w="7900" w:type="dxa"/>
            <w:shd w:fill="1F4E79"/>
            <w:vAlign w:val="center"/>
            <w:tcMar>
              <w:top w:w="80" w:type="dxa"/>
              <w:left w:w="95" w:type="dxa"/>
              <w:bottom w:w="80" w:type="dxa"/>
              <w:right w:w="95" w:type="dxa"/>
            </w:tcMar>
          </w:tcPr>
          <w:p>
            <w:pPr>
              <w:jc w:val="center"/>
              <w:spacing w:before="0" w:after="35" w:line="235" w:lineRule="auto"/>
            </w:pPr>
            <w:r>
              <w:rPr>
                <w:rFonts w:ascii="Arial" w:hAnsi="Arial" w:cs="Arial"/>
                <w:b/>
                <w:bCs/>
                <w:color w:val="FFFFFF"/>
                <w:sz w:val="18"/>
                <w:szCs w:val="18"/>
              </w:rPr>
              <w:t xml:space="preserve">Rule</w:t>
            </w:r>
          </w:p>
        </w:tc>
      </w:tr>
      <w:tr>
        <w:tc>
          <w:tcPr>
            <w:tcW w:w="11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BR-01</w:t>
            </w:r>
          </w:p>
        </w:tc>
        <w:tc>
          <w:tcPr>
            <w:tcW w:w="7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All protected APIs require valid JWT.</w:t>
            </w:r>
          </w:p>
        </w:tc>
      </w:tr>
      <w:tr>
        <w:tc>
          <w:tcPr>
            <w:tcW w:w="11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BR-02</w:t>
            </w:r>
          </w:p>
        </w:tc>
        <w:tc>
          <w:tcPr>
            <w:tcW w:w="7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Role-specific APIs require matching role. Current HR role is unified as HR_LEADER in code and represented as HR in user-facing documentation.</w:t>
            </w:r>
          </w:p>
        </w:tc>
      </w:tr>
      <w:tr>
        <w:tc>
          <w:tcPr>
            <w:tcW w:w="11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BR-03</w:t>
            </w:r>
          </w:p>
        </w:tc>
        <w:tc>
          <w:tcPr>
            <w:tcW w:w="7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Department Head can create and track recruitment requests for their department scope.</w:t>
            </w:r>
          </w:p>
        </w:tc>
      </w:tr>
      <w:tr>
        <w:tc>
          <w:tcPr>
            <w:tcW w:w="11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BR-04</w:t>
            </w:r>
          </w:p>
        </w:tc>
        <w:tc>
          <w:tcPr>
            <w:tcW w:w="7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HR reviews and operationalizes recruitment workflow but Admin remains final approval/decision owner where required.</w:t>
            </w:r>
          </w:p>
        </w:tc>
      </w:tr>
      <w:tr>
        <w:tc>
          <w:tcPr>
            <w:tcW w:w="11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BR-05</w:t>
            </w:r>
          </w:p>
        </w:tc>
        <w:tc>
          <w:tcPr>
            <w:tcW w:w="7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Rejection, revision, cancellation and request-info actions require a reason.</w:t>
            </w:r>
          </w:p>
        </w:tc>
      </w:tr>
      <w:tr>
        <w:tc>
          <w:tcPr>
            <w:tcW w:w="11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BR-06</w:t>
            </w:r>
          </w:p>
        </w:tc>
        <w:tc>
          <w:tcPr>
            <w:tcW w:w="7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Recruitment execution is plan-locked: downstream actions require approved request, approved overall plan and relevant task plan.</w:t>
            </w:r>
          </w:p>
        </w:tc>
      </w:tr>
      <w:tr>
        <w:tc>
          <w:tcPr>
            <w:tcW w:w="11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BR-07</w:t>
            </w:r>
          </w:p>
        </w:tc>
        <w:tc>
          <w:tcPr>
            <w:tcW w:w="7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Interview schedules require at least two distinct active internal interviewers.</w:t>
            </w:r>
          </w:p>
        </w:tc>
      </w:tr>
      <w:tr>
        <w:tc>
          <w:tcPr>
            <w:tcW w:w="11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BR-08</w:t>
            </w:r>
          </w:p>
        </w:tc>
        <w:tc>
          <w:tcPr>
            <w:tcW w:w="7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Candidate can only manage their own profile, CV, interview responses and offer responses.</w:t>
            </w:r>
          </w:p>
        </w:tc>
      </w:tr>
      <w:tr>
        <w:tc>
          <w:tcPr>
            <w:tcW w:w="11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BR-09</w:t>
            </w:r>
          </w:p>
        </w:tc>
        <w:tc>
          <w:tcPr>
            <w:tcW w:w="7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Offer response can be submitted only by the owner candidate and should persist response, note and timestamp.</w:t>
            </w:r>
          </w:p>
        </w:tc>
      </w:tr>
      <w:tr>
        <w:tc>
          <w:tcPr>
            <w:tcW w:w="11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BR-10</w:t>
            </w:r>
          </w:p>
        </w:tc>
        <w:tc>
          <w:tcPr>
            <w:tcW w:w="7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Request/plan/task/interview/CV status changes must be traceable through RequestLog or AuditLog.</w:t>
            </w:r>
          </w:p>
        </w:tc>
      </w:tr>
      <w:tr>
        <w:tc>
          <w:tcPr>
            <w:tcW w:w="1100" w:type="dxa"/>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BR-11</w:t>
            </w:r>
          </w:p>
        </w:tc>
        <w:tc>
          <w:tcPr>
            <w:tcW w:w="7900" w:type="dxa"/>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AI/vector search supports parsing and discovery; final hiring decisions remain human-controlled.</w:t>
            </w:r>
          </w:p>
        </w:tc>
      </w:tr>
      <w:tr>
        <w:tc>
          <w:tcPr>
            <w:tcW w:w="1100" w:type="dxa"/>
            <w:shd w:fill="F7FAFC"/>
            <w:vAlign w:val="top"/>
            <w:tcMar>
              <w:top w:w="80" w:type="dxa"/>
              <w:left w:w="95" w:type="dxa"/>
              <w:bottom w:w="80" w:type="dxa"/>
              <w:right w:w="95" w:type="dxa"/>
            </w:tcMar>
          </w:tcPr>
          <w:p>
            <w:pPr>
              <w:jc w:val="center"/>
              <w:spacing w:before="0" w:after="35" w:line="235" w:lineRule="auto"/>
            </w:pPr>
            <w:r>
              <w:rPr>
                <w:rFonts w:ascii="Arial" w:hAnsi="Arial" w:cs="Arial"/>
                <w:color w:val="000000"/>
                <w:sz w:val="18"/>
                <w:szCs w:val="18"/>
              </w:rPr>
              <w:t xml:space="preserve">BR-12</w:t>
            </w:r>
          </w:p>
        </w:tc>
        <w:tc>
          <w:tcPr>
            <w:tcW w:w="7900" w:type="dxa"/>
            <w:shd w:fill="F7FAFC"/>
            <w:vAlign w:val="top"/>
            <w:tcMar>
              <w:top w:w="80" w:type="dxa"/>
              <w:left w:w="95" w:type="dxa"/>
              <w:bottom w:w="80" w:type="dxa"/>
              <w:right w:w="95" w:type="dxa"/>
            </w:tcMar>
          </w:tcPr>
          <w:p>
            <w:pPr>
              <w:jc w:val="left"/>
              <w:spacing w:before="0" w:after="35" w:line="235" w:lineRule="auto"/>
            </w:pPr>
            <w:r>
              <w:rPr>
                <w:rFonts w:ascii="Arial" w:hAnsi="Arial" w:cs="Arial"/>
                <w:color w:val="000000"/>
                <w:sz w:val="18"/>
                <w:szCs w:val="18"/>
              </w:rPr>
              <w:t xml:space="preserve">Deadline reminders must be idempotent and skip completed tasks.</w:t>
            </w:r>
          </w:p>
        </w:tc>
      </w:tr>
    </w:tbl>
    <w:p>
      <w:pPr>
        <w:spacing w:before="0" w:after="70" w:line="276" w:lineRule="auto"/>
      </w:pPr>
      <w:r>
        <w:rPr>
          <w:rFonts w:ascii="Arial" w:hAnsi="Arial" w:cs="Arial"/>
          <w:color w:val="000000"/>
          <w:sz w:val="21"/>
          <w:szCs w:val="21"/>
        </w:rPr>
        <w:t xml:space="preserve"/>
      </w:r>
    </w:p>
    <w:p>
      <w:pPr>
        <w:keepNext/>
        <w:spacing w:before="360" w:after="160" w:line="276" w:lineRule="auto"/>
      </w:pPr>
      <w:r>
        <w:rPr>
          <w:rFonts w:ascii="Arial" w:hAnsi="Arial" w:cs="Arial"/>
          <w:b/>
          <w:bCs/>
          <w:color w:val="1F4E79"/>
          <w:sz w:val="31"/>
          <w:szCs w:val="31"/>
        </w:rPr>
        <w:t xml:space="preserve">6. Design Notes for the RDS Use Case Section</w:t>
      </w:r>
    </w:p>
    <w:p>
      <w:pPr>
        <w:spacing w:before="0" w:after="70" w:line="276" w:lineRule="auto"/>
        <w:ind w:left="620" w:hanging="240"/>
      </w:pPr>
      <w:r>
        <w:rPr>
          <w:rFonts w:ascii="Arial" w:hAnsi="Arial" w:cs="Arial"/>
          <w:color w:val="000000"/>
          <w:sz w:val="20"/>
          <w:szCs w:val="20"/>
        </w:rPr>
        <w:t xml:space="preserve">Keep UC IDs stable across requirement, design, API, testing and issue tracking artifacts.</w:t>
      </w:r>
    </w:p>
    <w:p>
      <w:pPr>
        <w:spacing w:before="0" w:after="70" w:line="276" w:lineRule="auto"/>
        <w:ind w:left="620" w:hanging="240"/>
      </w:pPr>
      <w:r>
        <w:rPr>
          <w:rFonts w:ascii="Arial" w:hAnsi="Arial" w:cs="Arial"/>
          <w:color w:val="000000"/>
          <w:sz w:val="20"/>
          <w:szCs w:val="20"/>
        </w:rPr>
        <w:t xml:space="preserve">Use the coverage groups as the top-level report structure, then place the full UC catalog and compact detail tables underneath.</w:t>
      </w:r>
    </w:p>
    <w:p>
      <w:pPr>
        <w:spacing w:before="0" w:after="70" w:line="276" w:lineRule="auto"/>
        <w:ind w:left="620" w:hanging="240"/>
      </w:pPr>
      <w:r>
        <w:rPr>
          <w:rFonts w:ascii="Arial" w:hAnsi="Arial" w:cs="Arial"/>
          <w:color w:val="000000"/>
          <w:sz w:val="20"/>
          <w:szCs w:val="20"/>
        </w:rPr>
        <w:t xml:space="preserve">Represent HR as one unified business role in the report. The implementation role value is HR_LEADER, and the report does not split HR into separate sub-roles.</w:t>
      </w:r>
    </w:p>
    <w:p>
      <w:pPr>
        <w:spacing w:before="0" w:after="70" w:line="276" w:lineRule="auto"/>
        <w:ind w:left="620" w:hanging="240"/>
      </w:pPr>
      <w:r>
        <w:rPr>
          <w:rFonts w:ascii="Arial" w:hAnsi="Arial" w:cs="Arial"/>
          <w:color w:val="000000"/>
          <w:sz w:val="20"/>
          <w:szCs w:val="20"/>
        </w:rPr>
        <w:t xml:space="preserve">For testing traceability, map each UI/API test case back to one or more UC IDs from the catalog.</w:t>
      </w:r>
    </w:p>
    <w:sectPr w:rsidR="00D103DD">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4D75B" w14:textId="77777777" w:rsidR="00A314BF" w:rsidRDefault="00A314BF" w:rsidP="00722480">
      <w:r>
        <w:separator/>
      </w:r>
    </w:p>
  </w:endnote>
  <w:endnote w:type="continuationSeparator" w:id="0">
    <w:p w14:paraId="68E3423A" w14:textId="77777777" w:rsidR="00A314BF" w:rsidRDefault="00A314BF" w:rsidP="00722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36E18" w14:textId="5231D87B" w:rsidR="00722480" w:rsidRDefault="00BF1E22" w:rsidP="00722480">
    <w:pPr>
      <w:pStyle w:val="Footer"/>
      <w:pBdr>
        <w:top w:val="single" w:sz="8" w:space="1" w:color="auto"/>
      </w:pBdr>
    </w:pPr>
    <w:r>
      <w:t>GAMS-SRS_v1.0</w:t>
    </w:r>
    <w:r>
      <w:tab/>
    </w:r>
    <w:r>
      <w:tab/>
      <w:t xml:space="preserve">Page </w:t>
    </w:r>
    <w:r w:rsidR="00567569">
      <w:fldChar w:fldCharType="begin"/>
    </w:r>
    <w:r w:rsidR="00567569">
      <w:instrText xml:space="preserve"> PAGE   \* MERGEFORMAT </w:instrText>
    </w:r>
    <w:r w:rsidR="00567569">
      <w:fldChar w:fldCharType="separate"/>
    </w:r>
    <w:r w:rsidR="00567569">
      <w:rPr>
        <w:noProof/>
      </w:rPr>
      <w:t>1</w:t>
    </w:r>
    <w:r w:rsidR="00567569">
      <w:rPr>
        <w:noProof/>
      </w:rPr>
      <w:fldChar w:fldCharType="end"/>
    </w:r>
    <w:r w:rsidR="00567569">
      <w:rPr>
        <w:noProof/>
      </w:rPr>
      <w:t xml:space="preserve"> /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2F16D" w14:textId="77777777" w:rsidR="00A314BF" w:rsidRDefault="00A314BF" w:rsidP="00722480">
      <w:r>
        <w:separator/>
      </w:r>
    </w:p>
  </w:footnote>
  <w:footnote w:type="continuationSeparator" w:id="0">
    <w:p w14:paraId="3A01F0A6" w14:textId="77777777" w:rsidR="00A314BF" w:rsidRDefault="00A314BF" w:rsidP="00722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5099"/>
    <w:multiLevelType w:val="multilevel"/>
    <w:tmpl w:val="941C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F4D62"/>
    <w:multiLevelType w:val="multilevel"/>
    <w:tmpl w:val="F4B0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22A07"/>
    <w:multiLevelType w:val="multilevel"/>
    <w:tmpl w:val="124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52510"/>
    <w:multiLevelType w:val="multilevel"/>
    <w:tmpl w:val="2C1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600F3"/>
    <w:multiLevelType w:val="multilevel"/>
    <w:tmpl w:val="4A12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B112D68"/>
    <w:multiLevelType w:val="multilevel"/>
    <w:tmpl w:val="47DA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1F68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CD4DD9"/>
    <w:multiLevelType w:val="hybridMultilevel"/>
    <w:tmpl w:val="9FF4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D695D"/>
    <w:multiLevelType w:val="multilevel"/>
    <w:tmpl w:val="FAECE3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EEB33E3"/>
    <w:multiLevelType w:val="multilevel"/>
    <w:tmpl w:val="973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F1E2D94"/>
    <w:multiLevelType w:val="multilevel"/>
    <w:tmpl w:val="8C8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BC5227"/>
    <w:multiLevelType w:val="hybridMultilevel"/>
    <w:tmpl w:val="BFFA5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E6106E"/>
    <w:multiLevelType w:val="hybridMultilevel"/>
    <w:tmpl w:val="103C2BE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3"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4" w15:restartNumberingAfterBreak="0">
    <w:nsid w:val="7EB7787C"/>
    <w:multiLevelType w:val="hybridMultilevel"/>
    <w:tmpl w:val="E70E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8"/>
  </w:num>
  <w:num w:numId="3">
    <w:abstractNumId w:val="15"/>
  </w:num>
  <w:num w:numId="4">
    <w:abstractNumId w:val="0"/>
  </w:num>
  <w:num w:numId="5">
    <w:abstractNumId w:val="14"/>
  </w:num>
  <w:num w:numId="6">
    <w:abstractNumId w:val="3"/>
  </w:num>
  <w:num w:numId="7">
    <w:abstractNumId w:val="2"/>
  </w:num>
  <w:num w:numId="8">
    <w:abstractNumId w:val="6"/>
  </w:num>
  <w:num w:numId="9">
    <w:abstractNumId w:val="19"/>
  </w:num>
  <w:num w:numId="10">
    <w:abstractNumId w:val="1"/>
  </w:num>
  <w:num w:numId="11">
    <w:abstractNumId w:val="4"/>
  </w:num>
  <w:num w:numId="12">
    <w:abstractNumId w:val="24"/>
  </w:num>
  <w:num w:numId="13">
    <w:abstractNumId w:val="22"/>
  </w:num>
  <w:num w:numId="14">
    <w:abstractNumId w:val="13"/>
  </w:num>
  <w:num w:numId="15">
    <w:abstractNumId w:val="11"/>
  </w:num>
  <w:num w:numId="16">
    <w:abstractNumId w:val="10"/>
  </w:num>
  <w:num w:numId="17">
    <w:abstractNumId w:val="21"/>
  </w:num>
  <w:num w:numId="18">
    <w:abstractNumId w:val="17"/>
  </w:num>
  <w:num w:numId="19">
    <w:abstractNumId w:val="7"/>
  </w:num>
  <w:num w:numId="20">
    <w:abstractNumId w:val="12"/>
  </w:num>
  <w:num w:numId="21">
    <w:abstractNumId w:val="9"/>
  </w:num>
  <w:num w:numId="22">
    <w:abstractNumId w:val="20"/>
  </w:num>
  <w:num w:numId="23">
    <w:abstractNumId w:val="5"/>
  </w:num>
  <w:num w:numId="24">
    <w:abstractNumId w:val="2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BAB"/>
    <w:rsid w:val="000008BF"/>
    <w:rsid w:val="00002AF4"/>
    <w:rsid w:val="00003358"/>
    <w:rsid w:val="00010A5B"/>
    <w:rsid w:val="00011F7B"/>
    <w:rsid w:val="000142F3"/>
    <w:rsid w:val="000200F4"/>
    <w:rsid w:val="000224DC"/>
    <w:rsid w:val="00023965"/>
    <w:rsid w:val="00026233"/>
    <w:rsid w:val="000266EF"/>
    <w:rsid w:val="00027664"/>
    <w:rsid w:val="0003286E"/>
    <w:rsid w:val="00033E67"/>
    <w:rsid w:val="00052167"/>
    <w:rsid w:val="00052176"/>
    <w:rsid w:val="0005353D"/>
    <w:rsid w:val="00067F20"/>
    <w:rsid w:val="00072ABC"/>
    <w:rsid w:val="000735D6"/>
    <w:rsid w:val="000739AB"/>
    <w:rsid w:val="00075FED"/>
    <w:rsid w:val="000770BA"/>
    <w:rsid w:val="00077CF7"/>
    <w:rsid w:val="00083306"/>
    <w:rsid w:val="00087532"/>
    <w:rsid w:val="00092885"/>
    <w:rsid w:val="000A7A93"/>
    <w:rsid w:val="000B2727"/>
    <w:rsid w:val="000B4973"/>
    <w:rsid w:val="000C23DC"/>
    <w:rsid w:val="000C4D4E"/>
    <w:rsid w:val="000C6145"/>
    <w:rsid w:val="000D481A"/>
    <w:rsid w:val="000D48F0"/>
    <w:rsid w:val="000D6F71"/>
    <w:rsid w:val="000E2EE0"/>
    <w:rsid w:val="000F0C74"/>
    <w:rsid w:val="000F7F3B"/>
    <w:rsid w:val="00100F85"/>
    <w:rsid w:val="00101147"/>
    <w:rsid w:val="00102E14"/>
    <w:rsid w:val="00103F24"/>
    <w:rsid w:val="00111096"/>
    <w:rsid w:val="0011469F"/>
    <w:rsid w:val="00124406"/>
    <w:rsid w:val="00130670"/>
    <w:rsid w:val="00130FDE"/>
    <w:rsid w:val="0013537B"/>
    <w:rsid w:val="00136985"/>
    <w:rsid w:val="0014026D"/>
    <w:rsid w:val="00141D80"/>
    <w:rsid w:val="00142981"/>
    <w:rsid w:val="001443C6"/>
    <w:rsid w:val="001450E5"/>
    <w:rsid w:val="001514A2"/>
    <w:rsid w:val="0015617A"/>
    <w:rsid w:val="00156322"/>
    <w:rsid w:val="00156A68"/>
    <w:rsid w:val="00161E17"/>
    <w:rsid w:val="00172BA6"/>
    <w:rsid w:val="00173C02"/>
    <w:rsid w:val="00176190"/>
    <w:rsid w:val="00186514"/>
    <w:rsid w:val="00196F4A"/>
    <w:rsid w:val="001A35A8"/>
    <w:rsid w:val="001A3954"/>
    <w:rsid w:val="001B1686"/>
    <w:rsid w:val="001B2749"/>
    <w:rsid w:val="001B55D9"/>
    <w:rsid w:val="001C7C25"/>
    <w:rsid w:val="001D730C"/>
    <w:rsid w:val="001E5B34"/>
    <w:rsid w:val="001F242F"/>
    <w:rsid w:val="001F2C6F"/>
    <w:rsid w:val="001F50B7"/>
    <w:rsid w:val="001F6C74"/>
    <w:rsid w:val="001F71E2"/>
    <w:rsid w:val="001F74F0"/>
    <w:rsid w:val="0020272C"/>
    <w:rsid w:val="00204A0F"/>
    <w:rsid w:val="00204DCA"/>
    <w:rsid w:val="00205C40"/>
    <w:rsid w:val="00207E77"/>
    <w:rsid w:val="00211EEB"/>
    <w:rsid w:val="0021283D"/>
    <w:rsid w:val="00221BAB"/>
    <w:rsid w:val="00225CEB"/>
    <w:rsid w:val="00230E28"/>
    <w:rsid w:val="00233188"/>
    <w:rsid w:val="0023364E"/>
    <w:rsid w:val="002352D0"/>
    <w:rsid w:val="00235DED"/>
    <w:rsid w:val="00247EA5"/>
    <w:rsid w:val="002508DF"/>
    <w:rsid w:val="0025140E"/>
    <w:rsid w:val="00261180"/>
    <w:rsid w:val="00261D26"/>
    <w:rsid w:val="00264E9D"/>
    <w:rsid w:val="00267758"/>
    <w:rsid w:val="00273D93"/>
    <w:rsid w:val="002763F2"/>
    <w:rsid w:val="00277CBE"/>
    <w:rsid w:val="00280A29"/>
    <w:rsid w:val="00280C5D"/>
    <w:rsid w:val="0028567C"/>
    <w:rsid w:val="00285D5B"/>
    <w:rsid w:val="00292329"/>
    <w:rsid w:val="00295038"/>
    <w:rsid w:val="002972F2"/>
    <w:rsid w:val="002A3AD3"/>
    <w:rsid w:val="002C3949"/>
    <w:rsid w:val="002C3B3C"/>
    <w:rsid w:val="002C4662"/>
    <w:rsid w:val="002C60A5"/>
    <w:rsid w:val="002D2048"/>
    <w:rsid w:val="002D563C"/>
    <w:rsid w:val="002D7C3B"/>
    <w:rsid w:val="002E0383"/>
    <w:rsid w:val="002E5407"/>
    <w:rsid w:val="002E5409"/>
    <w:rsid w:val="002E62F0"/>
    <w:rsid w:val="002F330E"/>
    <w:rsid w:val="002F4B12"/>
    <w:rsid w:val="00303CB7"/>
    <w:rsid w:val="00305DAF"/>
    <w:rsid w:val="00311D54"/>
    <w:rsid w:val="003161B2"/>
    <w:rsid w:val="003169B5"/>
    <w:rsid w:val="00324B07"/>
    <w:rsid w:val="00330EB6"/>
    <w:rsid w:val="003342E5"/>
    <w:rsid w:val="00341406"/>
    <w:rsid w:val="003425BE"/>
    <w:rsid w:val="003524C0"/>
    <w:rsid w:val="003539F5"/>
    <w:rsid w:val="0035648A"/>
    <w:rsid w:val="00360C1A"/>
    <w:rsid w:val="00361115"/>
    <w:rsid w:val="00362D43"/>
    <w:rsid w:val="00365AC0"/>
    <w:rsid w:val="00374ACB"/>
    <w:rsid w:val="00374C4D"/>
    <w:rsid w:val="00375B89"/>
    <w:rsid w:val="00377EF9"/>
    <w:rsid w:val="00387C59"/>
    <w:rsid w:val="003922B5"/>
    <w:rsid w:val="00397153"/>
    <w:rsid w:val="00397DCA"/>
    <w:rsid w:val="00397F07"/>
    <w:rsid w:val="003B0EC4"/>
    <w:rsid w:val="003B674B"/>
    <w:rsid w:val="003B6FF3"/>
    <w:rsid w:val="003B7DCE"/>
    <w:rsid w:val="003C38C9"/>
    <w:rsid w:val="003C3918"/>
    <w:rsid w:val="003D2C2D"/>
    <w:rsid w:val="003D758F"/>
    <w:rsid w:val="003E4A7B"/>
    <w:rsid w:val="003F45FA"/>
    <w:rsid w:val="0040132D"/>
    <w:rsid w:val="00407F5E"/>
    <w:rsid w:val="0041042F"/>
    <w:rsid w:val="00410A3A"/>
    <w:rsid w:val="00412023"/>
    <w:rsid w:val="00412D5C"/>
    <w:rsid w:val="004168D2"/>
    <w:rsid w:val="00416FCE"/>
    <w:rsid w:val="00423ED9"/>
    <w:rsid w:val="00431C67"/>
    <w:rsid w:val="00435713"/>
    <w:rsid w:val="004440B9"/>
    <w:rsid w:val="00446240"/>
    <w:rsid w:val="00471605"/>
    <w:rsid w:val="004718F9"/>
    <w:rsid w:val="00474DC4"/>
    <w:rsid w:val="004814DF"/>
    <w:rsid w:val="00482456"/>
    <w:rsid w:val="004832F9"/>
    <w:rsid w:val="00483C65"/>
    <w:rsid w:val="00487EF6"/>
    <w:rsid w:val="00496A2D"/>
    <w:rsid w:val="004A1239"/>
    <w:rsid w:val="004A70D9"/>
    <w:rsid w:val="004A755C"/>
    <w:rsid w:val="004C23AA"/>
    <w:rsid w:val="004C28A0"/>
    <w:rsid w:val="004C35CD"/>
    <w:rsid w:val="004C4221"/>
    <w:rsid w:val="004C4741"/>
    <w:rsid w:val="004C57B5"/>
    <w:rsid w:val="004D07B6"/>
    <w:rsid w:val="004D27AE"/>
    <w:rsid w:val="004D4CF2"/>
    <w:rsid w:val="004D62A1"/>
    <w:rsid w:val="004E0C4C"/>
    <w:rsid w:val="004E12D9"/>
    <w:rsid w:val="004F5C45"/>
    <w:rsid w:val="00506DD1"/>
    <w:rsid w:val="00507243"/>
    <w:rsid w:val="0050728B"/>
    <w:rsid w:val="005108B3"/>
    <w:rsid w:val="00520A19"/>
    <w:rsid w:val="00524574"/>
    <w:rsid w:val="00525D8A"/>
    <w:rsid w:val="00526061"/>
    <w:rsid w:val="0052699E"/>
    <w:rsid w:val="00530629"/>
    <w:rsid w:val="00531519"/>
    <w:rsid w:val="005341F5"/>
    <w:rsid w:val="00536F75"/>
    <w:rsid w:val="00537E72"/>
    <w:rsid w:val="0054139A"/>
    <w:rsid w:val="00541B94"/>
    <w:rsid w:val="00543E12"/>
    <w:rsid w:val="00546A62"/>
    <w:rsid w:val="005509EC"/>
    <w:rsid w:val="00553584"/>
    <w:rsid w:val="00554D0A"/>
    <w:rsid w:val="0056077A"/>
    <w:rsid w:val="00565190"/>
    <w:rsid w:val="00566F43"/>
    <w:rsid w:val="00567569"/>
    <w:rsid w:val="0057324D"/>
    <w:rsid w:val="00577F3A"/>
    <w:rsid w:val="00581F86"/>
    <w:rsid w:val="00587282"/>
    <w:rsid w:val="005875AC"/>
    <w:rsid w:val="0059754B"/>
    <w:rsid w:val="005A66A9"/>
    <w:rsid w:val="005B040F"/>
    <w:rsid w:val="005B3049"/>
    <w:rsid w:val="005C58C5"/>
    <w:rsid w:val="005D40D6"/>
    <w:rsid w:val="005E15D2"/>
    <w:rsid w:val="005F46F4"/>
    <w:rsid w:val="005F60CF"/>
    <w:rsid w:val="006015FA"/>
    <w:rsid w:val="00606E84"/>
    <w:rsid w:val="00610F35"/>
    <w:rsid w:val="006143EF"/>
    <w:rsid w:val="0061498B"/>
    <w:rsid w:val="006244F2"/>
    <w:rsid w:val="00624F6A"/>
    <w:rsid w:val="00626059"/>
    <w:rsid w:val="0063042E"/>
    <w:rsid w:val="00630C66"/>
    <w:rsid w:val="00634B10"/>
    <w:rsid w:val="006440A0"/>
    <w:rsid w:val="006466BE"/>
    <w:rsid w:val="00646B88"/>
    <w:rsid w:val="00650839"/>
    <w:rsid w:val="00652029"/>
    <w:rsid w:val="00665622"/>
    <w:rsid w:val="00666EE1"/>
    <w:rsid w:val="006670DD"/>
    <w:rsid w:val="006822EF"/>
    <w:rsid w:val="00686770"/>
    <w:rsid w:val="006960CD"/>
    <w:rsid w:val="006A055B"/>
    <w:rsid w:val="006A0607"/>
    <w:rsid w:val="006A31F6"/>
    <w:rsid w:val="006B33F8"/>
    <w:rsid w:val="006B4D58"/>
    <w:rsid w:val="006C0733"/>
    <w:rsid w:val="006C4B88"/>
    <w:rsid w:val="006C64EA"/>
    <w:rsid w:val="006C6BD0"/>
    <w:rsid w:val="006D0F88"/>
    <w:rsid w:val="006E0ADC"/>
    <w:rsid w:val="006E44A4"/>
    <w:rsid w:val="006E5045"/>
    <w:rsid w:val="006E6693"/>
    <w:rsid w:val="006F0DDC"/>
    <w:rsid w:val="006F607A"/>
    <w:rsid w:val="00703B51"/>
    <w:rsid w:val="0070465D"/>
    <w:rsid w:val="007053C7"/>
    <w:rsid w:val="007118C4"/>
    <w:rsid w:val="00711FD3"/>
    <w:rsid w:val="00717F38"/>
    <w:rsid w:val="00722480"/>
    <w:rsid w:val="00722E04"/>
    <w:rsid w:val="00723C2B"/>
    <w:rsid w:val="007324DD"/>
    <w:rsid w:val="00732D3C"/>
    <w:rsid w:val="00740594"/>
    <w:rsid w:val="0074133C"/>
    <w:rsid w:val="007439A2"/>
    <w:rsid w:val="007448C5"/>
    <w:rsid w:val="00757B24"/>
    <w:rsid w:val="0076626C"/>
    <w:rsid w:val="00766D29"/>
    <w:rsid w:val="00771413"/>
    <w:rsid w:val="0077190D"/>
    <w:rsid w:val="00773224"/>
    <w:rsid w:val="00773C01"/>
    <w:rsid w:val="00776B9D"/>
    <w:rsid w:val="00777B1C"/>
    <w:rsid w:val="00784F6A"/>
    <w:rsid w:val="007908CD"/>
    <w:rsid w:val="00796520"/>
    <w:rsid w:val="007966A9"/>
    <w:rsid w:val="007A0A16"/>
    <w:rsid w:val="007A14BF"/>
    <w:rsid w:val="007A3EEC"/>
    <w:rsid w:val="007A7C94"/>
    <w:rsid w:val="007B4046"/>
    <w:rsid w:val="007B58EF"/>
    <w:rsid w:val="007C1622"/>
    <w:rsid w:val="007C6757"/>
    <w:rsid w:val="007D460B"/>
    <w:rsid w:val="007E38F2"/>
    <w:rsid w:val="007E5B4B"/>
    <w:rsid w:val="007E6924"/>
    <w:rsid w:val="007F06D0"/>
    <w:rsid w:val="007F0DF2"/>
    <w:rsid w:val="0080507D"/>
    <w:rsid w:val="00825FB3"/>
    <w:rsid w:val="00836D3C"/>
    <w:rsid w:val="0084601B"/>
    <w:rsid w:val="0085533F"/>
    <w:rsid w:val="00855824"/>
    <w:rsid w:val="008667DB"/>
    <w:rsid w:val="008715FF"/>
    <w:rsid w:val="00874344"/>
    <w:rsid w:val="00874AAF"/>
    <w:rsid w:val="0087568C"/>
    <w:rsid w:val="00884762"/>
    <w:rsid w:val="008868CB"/>
    <w:rsid w:val="008911AF"/>
    <w:rsid w:val="00896AC1"/>
    <w:rsid w:val="008A19E5"/>
    <w:rsid w:val="008A38A9"/>
    <w:rsid w:val="008A6591"/>
    <w:rsid w:val="008B65E9"/>
    <w:rsid w:val="008C054C"/>
    <w:rsid w:val="008C5317"/>
    <w:rsid w:val="008D29CE"/>
    <w:rsid w:val="008D570C"/>
    <w:rsid w:val="008D77F7"/>
    <w:rsid w:val="008E6183"/>
    <w:rsid w:val="008F36FC"/>
    <w:rsid w:val="008F41B5"/>
    <w:rsid w:val="008F66AB"/>
    <w:rsid w:val="008F6809"/>
    <w:rsid w:val="008F7CE7"/>
    <w:rsid w:val="00902B03"/>
    <w:rsid w:val="00905676"/>
    <w:rsid w:val="00905738"/>
    <w:rsid w:val="00912369"/>
    <w:rsid w:val="00912D7D"/>
    <w:rsid w:val="00915626"/>
    <w:rsid w:val="00916CB6"/>
    <w:rsid w:val="00925DC6"/>
    <w:rsid w:val="0093031B"/>
    <w:rsid w:val="00940A7D"/>
    <w:rsid w:val="009411F6"/>
    <w:rsid w:val="00943AE6"/>
    <w:rsid w:val="00952A98"/>
    <w:rsid w:val="00970C3E"/>
    <w:rsid w:val="0097506C"/>
    <w:rsid w:val="00975502"/>
    <w:rsid w:val="00977C0C"/>
    <w:rsid w:val="00987B93"/>
    <w:rsid w:val="0099515F"/>
    <w:rsid w:val="009A1F4E"/>
    <w:rsid w:val="009A3644"/>
    <w:rsid w:val="009A443B"/>
    <w:rsid w:val="009A62F3"/>
    <w:rsid w:val="009A66BF"/>
    <w:rsid w:val="009B1142"/>
    <w:rsid w:val="009B7857"/>
    <w:rsid w:val="009C0B94"/>
    <w:rsid w:val="009C1E53"/>
    <w:rsid w:val="009C48EA"/>
    <w:rsid w:val="009C597A"/>
    <w:rsid w:val="009C6783"/>
    <w:rsid w:val="009C7A0C"/>
    <w:rsid w:val="009D070A"/>
    <w:rsid w:val="009E24F3"/>
    <w:rsid w:val="009E575A"/>
    <w:rsid w:val="009E5B29"/>
    <w:rsid w:val="009F540D"/>
    <w:rsid w:val="009F55DC"/>
    <w:rsid w:val="009F5B3F"/>
    <w:rsid w:val="00A01042"/>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4482"/>
    <w:rsid w:val="00A45CA4"/>
    <w:rsid w:val="00A46231"/>
    <w:rsid w:val="00A469B3"/>
    <w:rsid w:val="00A4729A"/>
    <w:rsid w:val="00A52B48"/>
    <w:rsid w:val="00A608B9"/>
    <w:rsid w:val="00A7559F"/>
    <w:rsid w:val="00A75850"/>
    <w:rsid w:val="00A76335"/>
    <w:rsid w:val="00A80F1C"/>
    <w:rsid w:val="00A86807"/>
    <w:rsid w:val="00A90875"/>
    <w:rsid w:val="00A92B7E"/>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662"/>
    <w:rsid w:val="00AF2AF7"/>
    <w:rsid w:val="00B00030"/>
    <w:rsid w:val="00B00E46"/>
    <w:rsid w:val="00B03345"/>
    <w:rsid w:val="00B067F3"/>
    <w:rsid w:val="00B069D1"/>
    <w:rsid w:val="00B168B1"/>
    <w:rsid w:val="00B338C3"/>
    <w:rsid w:val="00B35F0B"/>
    <w:rsid w:val="00B41571"/>
    <w:rsid w:val="00B43B29"/>
    <w:rsid w:val="00B453E2"/>
    <w:rsid w:val="00B47102"/>
    <w:rsid w:val="00B559EF"/>
    <w:rsid w:val="00B730B8"/>
    <w:rsid w:val="00B739F5"/>
    <w:rsid w:val="00B7527A"/>
    <w:rsid w:val="00B777F9"/>
    <w:rsid w:val="00B805D1"/>
    <w:rsid w:val="00B837B5"/>
    <w:rsid w:val="00B84CDA"/>
    <w:rsid w:val="00BA063D"/>
    <w:rsid w:val="00BA097F"/>
    <w:rsid w:val="00BA0B7F"/>
    <w:rsid w:val="00BA6EB0"/>
    <w:rsid w:val="00BC37EA"/>
    <w:rsid w:val="00BC3E29"/>
    <w:rsid w:val="00BC5C3D"/>
    <w:rsid w:val="00BC6438"/>
    <w:rsid w:val="00BC6B74"/>
    <w:rsid w:val="00BD7014"/>
    <w:rsid w:val="00BE01CA"/>
    <w:rsid w:val="00BE333D"/>
    <w:rsid w:val="00BE4B3E"/>
    <w:rsid w:val="00BF1E22"/>
    <w:rsid w:val="00C00CD4"/>
    <w:rsid w:val="00C01F56"/>
    <w:rsid w:val="00C02129"/>
    <w:rsid w:val="00C028B0"/>
    <w:rsid w:val="00C07A07"/>
    <w:rsid w:val="00C1023B"/>
    <w:rsid w:val="00C173FB"/>
    <w:rsid w:val="00C21665"/>
    <w:rsid w:val="00C21D6A"/>
    <w:rsid w:val="00C2708C"/>
    <w:rsid w:val="00C30737"/>
    <w:rsid w:val="00C34D96"/>
    <w:rsid w:val="00C40A78"/>
    <w:rsid w:val="00C41AAD"/>
    <w:rsid w:val="00C45E76"/>
    <w:rsid w:val="00C51875"/>
    <w:rsid w:val="00C520FA"/>
    <w:rsid w:val="00C52627"/>
    <w:rsid w:val="00C603D6"/>
    <w:rsid w:val="00C612C8"/>
    <w:rsid w:val="00C61C80"/>
    <w:rsid w:val="00C768E6"/>
    <w:rsid w:val="00C861ED"/>
    <w:rsid w:val="00C94A24"/>
    <w:rsid w:val="00C96BDE"/>
    <w:rsid w:val="00CA23F9"/>
    <w:rsid w:val="00CA6FCB"/>
    <w:rsid w:val="00CB739A"/>
    <w:rsid w:val="00CC0AB9"/>
    <w:rsid w:val="00CC484D"/>
    <w:rsid w:val="00CE0E89"/>
    <w:rsid w:val="00CE10F6"/>
    <w:rsid w:val="00CE19E8"/>
    <w:rsid w:val="00CE2BE6"/>
    <w:rsid w:val="00CE3D69"/>
    <w:rsid w:val="00CE45A0"/>
    <w:rsid w:val="00CE58FD"/>
    <w:rsid w:val="00CF0DE0"/>
    <w:rsid w:val="00CF35D0"/>
    <w:rsid w:val="00D00960"/>
    <w:rsid w:val="00D103DD"/>
    <w:rsid w:val="00D10D64"/>
    <w:rsid w:val="00D11ECE"/>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386D"/>
    <w:rsid w:val="00D64D70"/>
    <w:rsid w:val="00D65371"/>
    <w:rsid w:val="00D706A0"/>
    <w:rsid w:val="00D7344D"/>
    <w:rsid w:val="00D752A2"/>
    <w:rsid w:val="00D75CCA"/>
    <w:rsid w:val="00D7641F"/>
    <w:rsid w:val="00D77BAF"/>
    <w:rsid w:val="00D77DE2"/>
    <w:rsid w:val="00D90132"/>
    <w:rsid w:val="00D90768"/>
    <w:rsid w:val="00D915B4"/>
    <w:rsid w:val="00D92BCF"/>
    <w:rsid w:val="00D9427F"/>
    <w:rsid w:val="00DA6A85"/>
    <w:rsid w:val="00DB0870"/>
    <w:rsid w:val="00DC40ED"/>
    <w:rsid w:val="00DC5721"/>
    <w:rsid w:val="00DD5BE7"/>
    <w:rsid w:val="00DE0069"/>
    <w:rsid w:val="00DE3843"/>
    <w:rsid w:val="00E0372A"/>
    <w:rsid w:val="00E06936"/>
    <w:rsid w:val="00E06AAC"/>
    <w:rsid w:val="00E11386"/>
    <w:rsid w:val="00E25301"/>
    <w:rsid w:val="00E30F05"/>
    <w:rsid w:val="00E377FE"/>
    <w:rsid w:val="00E56CB5"/>
    <w:rsid w:val="00E61BEE"/>
    <w:rsid w:val="00E63FDD"/>
    <w:rsid w:val="00E6749B"/>
    <w:rsid w:val="00E81062"/>
    <w:rsid w:val="00E87E06"/>
    <w:rsid w:val="00E903E7"/>
    <w:rsid w:val="00E9090D"/>
    <w:rsid w:val="00E92392"/>
    <w:rsid w:val="00E93A03"/>
    <w:rsid w:val="00EA47F0"/>
    <w:rsid w:val="00EA63BD"/>
    <w:rsid w:val="00EB039F"/>
    <w:rsid w:val="00EE0DB3"/>
    <w:rsid w:val="00EE21EB"/>
    <w:rsid w:val="00EE46D0"/>
    <w:rsid w:val="00EE5506"/>
    <w:rsid w:val="00EE61CC"/>
    <w:rsid w:val="00EE75F0"/>
    <w:rsid w:val="00EF1C1A"/>
    <w:rsid w:val="00EF1F80"/>
    <w:rsid w:val="00EF233F"/>
    <w:rsid w:val="00EF42EA"/>
    <w:rsid w:val="00EF4E32"/>
    <w:rsid w:val="00F0518E"/>
    <w:rsid w:val="00F06F44"/>
    <w:rsid w:val="00F10AFD"/>
    <w:rsid w:val="00F12504"/>
    <w:rsid w:val="00F12F7D"/>
    <w:rsid w:val="00F146FF"/>
    <w:rsid w:val="00F15276"/>
    <w:rsid w:val="00F23214"/>
    <w:rsid w:val="00F25DBC"/>
    <w:rsid w:val="00F37759"/>
    <w:rsid w:val="00F37970"/>
    <w:rsid w:val="00F41DE8"/>
    <w:rsid w:val="00F44EA3"/>
    <w:rsid w:val="00F46A3B"/>
    <w:rsid w:val="00F474E0"/>
    <w:rsid w:val="00F478C2"/>
    <w:rsid w:val="00F5205C"/>
    <w:rsid w:val="00F55BE3"/>
    <w:rsid w:val="00F628D1"/>
    <w:rsid w:val="00F725A7"/>
    <w:rsid w:val="00F7792E"/>
    <w:rsid w:val="00F8479A"/>
    <w:rsid w:val="00F84828"/>
    <w:rsid w:val="00F85951"/>
    <w:rsid w:val="00FA1DF9"/>
    <w:rsid w:val="00FA2595"/>
    <w:rsid w:val="00FA59FA"/>
    <w:rsid w:val="00FB32F2"/>
    <w:rsid w:val="00FB67D9"/>
    <w:rsid w:val="00FC3A4F"/>
    <w:rsid w:val="00FC3E6C"/>
    <w:rsid w:val="00FD2BE0"/>
    <w:rsid w:val="00FD335C"/>
    <w:rsid w:val="00FD379E"/>
    <w:rsid w:val="00FD7128"/>
    <w:rsid w:val="00FD7D59"/>
    <w:rsid w:val="00FE15C7"/>
    <w:rsid w:val="00FE476E"/>
    <w:rsid w:val="00FE766E"/>
    <w:rsid w:val="00FF111E"/>
    <w:rsid w:val="00FF13CA"/>
    <w:rsid w:val="00FF2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04D901"/>
  <w15:chartTrackingRefBased/>
  <w15:docId w15:val="{AC0DC180-E0FD-4238-B605-801E86FC3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BAB"/>
    <w:pPr>
      <w:spacing w:after="0" w:line="240" w:lineRule="auto"/>
    </w:pPr>
    <w:rPr>
      <w:rFonts w:ascii="Times New Roman" w:eastAsia="Times New Roman" w:hAnsi="Times New Roman" w:cs="Times New Roman"/>
      <w:szCs w:val="20"/>
    </w:rPr>
  </w:style>
  <w:style w:type="paragraph" w:styleId="Heading1">
    <w:name w:val="heading 1"/>
    <w:basedOn w:val="Normal"/>
    <w:next w:val="Normal"/>
    <w:link w:val="Heading1Char"/>
    <w:uiPriority w:val="9"/>
    <w:qFormat/>
    <w:rsid w:val="00703B5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5F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617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5617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autoRedefine/>
    <w:uiPriority w:val="9"/>
    <w:unhideWhenUsed/>
    <w:qFormat/>
    <w:rsid w:val="00EB039F"/>
    <w:pPr>
      <w:keepNext/>
      <w:keepLines/>
      <w:spacing w:before="40"/>
      <w:outlineLvl w:val="4"/>
    </w:pPr>
    <w:rPr>
      <w:rFonts w:asciiTheme="majorHAnsi" w:eastAsiaTheme="majorEastAsia" w:hAnsiTheme="majorHAnsi" w:cstheme="majorBidi"/>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21BAB"/>
    <w:rPr>
      <w:i/>
      <w:iCs/>
    </w:rPr>
  </w:style>
  <w:style w:type="paragraph" w:styleId="NormalWeb">
    <w:name w:val="Normal (Web)"/>
    <w:basedOn w:val="Normal"/>
    <w:uiPriority w:val="99"/>
    <w:semiHidden/>
    <w:unhideWhenUsed/>
    <w:rsid w:val="00221BAB"/>
    <w:pPr>
      <w:spacing w:before="100" w:beforeAutospacing="1" w:after="100" w:afterAutospacing="1"/>
    </w:pPr>
    <w:rPr>
      <w:sz w:val="24"/>
      <w:szCs w:val="24"/>
    </w:rPr>
  </w:style>
  <w:style w:type="paragraph" w:styleId="ListParagraph">
    <w:name w:val="List Paragraph"/>
    <w:aliases w:val="lp1,List Paragraph11,Steps,Bullet 1,bullet,List Paragraph1"/>
    <w:basedOn w:val="Normal"/>
    <w:link w:val="ListParagraphChar"/>
    <w:uiPriority w:val="34"/>
    <w:qFormat/>
    <w:rsid w:val="00F0518E"/>
    <w:pPr>
      <w:ind w:left="720"/>
      <w:contextualSpacing/>
    </w:pPr>
  </w:style>
  <w:style w:type="table" w:styleId="TableGrid">
    <w:name w:val="Table Grid"/>
    <w:basedOn w:val="TableNormal"/>
    <w:rsid w:val="00204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04D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1561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5617A"/>
    <w:rPr>
      <w:rFonts w:asciiTheme="majorHAnsi" w:eastAsiaTheme="majorEastAsia" w:hAnsiTheme="majorHAnsi" w:cstheme="majorBidi"/>
      <w:i/>
      <w:iCs/>
      <w:color w:val="2F5496" w:themeColor="accent1" w:themeShade="BF"/>
      <w:szCs w:val="20"/>
    </w:rPr>
  </w:style>
  <w:style w:type="character" w:customStyle="1" w:styleId="Heading2Char">
    <w:name w:val="Heading 2 Char"/>
    <w:basedOn w:val="DefaultParagraphFont"/>
    <w:link w:val="Heading2"/>
    <w:uiPriority w:val="9"/>
    <w:rsid w:val="00B35F0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03B51"/>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rsid w:val="00D31F25"/>
    <w:pPr>
      <w:spacing w:after="120" w:line="220" w:lineRule="exact"/>
    </w:pPr>
  </w:style>
  <w:style w:type="character" w:customStyle="1" w:styleId="BodyTextChar">
    <w:name w:val="Body Text Char"/>
    <w:basedOn w:val="DefaultParagraphFont"/>
    <w:link w:val="BodyText"/>
    <w:rsid w:val="00D31F25"/>
    <w:rPr>
      <w:rFonts w:ascii="Times New Roman" w:eastAsia="Times New Roman" w:hAnsi="Times New Roman" w:cs="Times New Roman"/>
      <w:szCs w:val="20"/>
    </w:rPr>
  </w:style>
  <w:style w:type="character" w:customStyle="1" w:styleId="Heading5Char">
    <w:name w:val="Heading 5 Char"/>
    <w:basedOn w:val="DefaultParagraphFont"/>
    <w:link w:val="Heading5"/>
    <w:uiPriority w:val="9"/>
    <w:rsid w:val="00EB039F"/>
    <w:rPr>
      <w:rFonts w:asciiTheme="majorHAnsi" w:eastAsiaTheme="majorEastAsia" w:hAnsiTheme="majorHAnsi" w:cstheme="majorBidi"/>
      <w:b/>
      <w:szCs w:val="20"/>
      <w:u w:val="single"/>
    </w:rPr>
  </w:style>
  <w:style w:type="paragraph" w:styleId="List">
    <w:name w:val="List"/>
    <w:basedOn w:val="Normal"/>
    <w:semiHidden/>
    <w:rsid w:val="00011F7B"/>
    <w:pPr>
      <w:spacing w:after="120" w:line="240" w:lineRule="exact"/>
      <w:ind w:left="1353" w:hanging="806"/>
    </w:pPr>
    <w:rPr>
      <w:sz w:val="24"/>
    </w:rPr>
  </w:style>
  <w:style w:type="paragraph" w:customStyle="1" w:styleId="Paragraph">
    <w:name w:val="Paragraph"/>
    <w:basedOn w:val="Normal"/>
    <w:link w:val="ParagraphChar"/>
    <w:rsid w:val="00011F7B"/>
    <w:pPr>
      <w:spacing w:before="220"/>
      <w:ind w:left="1080"/>
      <w:jc w:val="both"/>
    </w:pPr>
    <w:rPr>
      <w:rFonts w:eastAsia="MS Mincho"/>
      <w:szCs w:val="24"/>
    </w:rPr>
  </w:style>
  <w:style w:type="character" w:customStyle="1" w:styleId="ParagraphChar">
    <w:name w:val="Paragraph Char"/>
    <w:basedOn w:val="DefaultParagraphFont"/>
    <w:link w:val="Paragraph"/>
    <w:rsid w:val="00011F7B"/>
    <w:rPr>
      <w:rFonts w:ascii="Times New Roman" w:eastAsia="MS Mincho" w:hAnsi="Times New Roman" w:cs="Times New Roman"/>
      <w:szCs w:val="24"/>
    </w:rPr>
  </w:style>
  <w:style w:type="paragraph" w:customStyle="1" w:styleId="template">
    <w:name w:val="template"/>
    <w:basedOn w:val="Normal"/>
    <w:rsid w:val="006822EF"/>
    <w:pPr>
      <w:spacing w:line="240" w:lineRule="exact"/>
    </w:pPr>
    <w:rPr>
      <w:rFonts w:ascii="Arial" w:hAnsi="Arial"/>
      <w:i/>
    </w:rPr>
  </w:style>
  <w:style w:type="paragraph" w:styleId="Title">
    <w:name w:val="Title"/>
    <w:basedOn w:val="Normal"/>
    <w:link w:val="TitleChar"/>
    <w:qFormat/>
    <w:rsid w:val="002972F2"/>
    <w:pPr>
      <w:spacing w:before="220"/>
      <w:jc w:val="right"/>
    </w:pPr>
    <w:rPr>
      <w:rFonts w:ascii="Arial" w:eastAsia="MS Mincho" w:hAnsi="Arial" w:cs="Arial"/>
      <w:b/>
      <w:sz w:val="52"/>
      <w:szCs w:val="52"/>
    </w:rPr>
  </w:style>
  <w:style w:type="character" w:customStyle="1" w:styleId="TitleChar">
    <w:name w:val="Title Char"/>
    <w:basedOn w:val="DefaultParagraphFont"/>
    <w:link w:val="Title"/>
    <w:rsid w:val="002972F2"/>
    <w:rPr>
      <w:rFonts w:ascii="Arial" w:eastAsia="MS Mincho" w:hAnsi="Arial" w:cs="Arial"/>
      <w:b/>
      <w:sz w:val="52"/>
      <w:szCs w:val="52"/>
    </w:rPr>
  </w:style>
  <w:style w:type="paragraph" w:customStyle="1" w:styleId="Bang">
    <w:name w:val="Bang"/>
    <w:basedOn w:val="Normal"/>
    <w:qFormat/>
    <w:rsid w:val="002972F2"/>
    <w:pPr>
      <w:spacing w:before="80" w:after="80"/>
    </w:pPr>
    <w:rPr>
      <w:rFonts w:ascii="Tahoma" w:hAnsi="Tahoma" w:cs="Tahoma"/>
      <w:sz w:val="18"/>
      <w:szCs w:val="18"/>
    </w:rPr>
  </w:style>
  <w:style w:type="paragraph" w:customStyle="1" w:styleId="HeadingLv1">
    <w:name w:val="Heading Lv1"/>
    <w:basedOn w:val="Normal"/>
    <w:qFormat/>
    <w:rsid w:val="002972F2"/>
    <w:pPr>
      <w:widowControl w:val="0"/>
      <w:spacing w:before="120" w:after="60"/>
      <w:jc w:val="center"/>
    </w:pPr>
    <w:rPr>
      <w:rFonts w:ascii="Tahoma" w:hAnsi="Tahoma" w:cs="Tahoma"/>
      <w:b/>
      <w:snapToGrid w:val="0"/>
      <w:color w:val="6E2500"/>
      <w:sz w:val="20"/>
    </w:rPr>
  </w:style>
  <w:style w:type="paragraph" w:styleId="TOCHeading">
    <w:name w:val="TOC Heading"/>
    <w:basedOn w:val="Heading1"/>
    <w:next w:val="Normal"/>
    <w:uiPriority w:val="39"/>
    <w:unhideWhenUsed/>
    <w:qFormat/>
    <w:rsid w:val="002972F2"/>
    <w:pPr>
      <w:spacing w:line="259" w:lineRule="auto"/>
      <w:outlineLvl w:val="9"/>
    </w:pPr>
  </w:style>
  <w:style w:type="paragraph" w:styleId="TOC1">
    <w:name w:val="toc 1"/>
    <w:basedOn w:val="Normal"/>
    <w:next w:val="Normal"/>
    <w:autoRedefine/>
    <w:uiPriority w:val="39"/>
    <w:unhideWhenUsed/>
    <w:rsid w:val="002972F2"/>
    <w:pPr>
      <w:spacing w:after="100"/>
    </w:pPr>
  </w:style>
  <w:style w:type="paragraph" w:styleId="TOC2">
    <w:name w:val="toc 2"/>
    <w:basedOn w:val="Normal"/>
    <w:next w:val="Normal"/>
    <w:autoRedefine/>
    <w:uiPriority w:val="39"/>
    <w:unhideWhenUsed/>
    <w:rsid w:val="002972F2"/>
    <w:pPr>
      <w:spacing w:after="100"/>
      <w:ind w:left="220"/>
    </w:pPr>
  </w:style>
  <w:style w:type="paragraph" w:styleId="TOC3">
    <w:name w:val="toc 3"/>
    <w:basedOn w:val="Normal"/>
    <w:next w:val="Normal"/>
    <w:autoRedefine/>
    <w:uiPriority w:val="39"/>
    <w:unhideWhenUsed/>
    <w:rsid w:val="002972F2"/>
    <w:pPr>
      <w:spacing w:after="100"/>
      <w:ind w:left="440"/>
    </w:pPr>
  </w:style>
  <w:style w:type="character" w:styleId="Hyperlink">
    <w:name w:val="Hyperlink"/>
    <w:basedOn w:val="DefaultParagraphFont"/>
    <w:uiPriority w:val="99"/>
    <w:unhideWhenUsed/>
    <w:rsid w:val="002972F2"/>
    <w:rPr>
      <w:color w:val="0563C1" w:themeColor="hyperlink"/>
      <w:u w:val="single"/>
    </w:rPr>
  </w:style>
  <w:style w:type="paragraph" w:styleId="Header">
    <w:name w:val="header"/>
    <w:basedOn w:val="Normal"/>
    <w:link w:val="HeaderChar"/>
    <w:uiPriority w:val="99"/>
    <w:unhideWhenUsed/>
    <w:rsid w:val="00722480"/>
    <w:pPr>
      <w:tabs>
        <w:tab w:val="center" w:pos="4680"/>
        <w:tab w:val="right" w:pos="9360"/>
      </w:tabs>
    </w:pPr>
  </w:style>
  <w:style w:type="character" w:customStyle="1" w:styleId="HeaderChar">
    <w:name w:val="Header Char"/>
    <w:basedOn w:val="DefaultParagraphFont"/>
    <w:link w:val="Header"/>
    <w:uiPriority w:val="99"/>
    <w:rsid w:val="00722480"/>
    <w:rPr>
      <w:rFonts w:ascii="Times New Roman" w:eastAsia="Times New Roman" w:hAnsi="Times New Roman" w:cs="Times New Roman"/>
      <w:szCs w:val="20"/>
    </w:rPr>
  </w:style>
  <w:style w:type="paragraph" w:styleId="Footer">
    <w:name w:val="footer"/>
    <w:basedOn w:val="Normal"/>
    <w:link w:val="FooterChar"/>
    <w:uiPriority w:val="99"/>
    <w:unhideWhenUsed/>
    <w:rsid w:val="00722480"/>
    <w:pPr>
      <w:tabs>
        <w:tab w:val="center" w:pos="4680"/>
        <w:tab w:val="right" w:pos="9360"/>
      </w:tabs>
    </w:pPr>
  </w:style>
  <w:style w:type="character" w:customStyle="1" w:styleId="FooterChar">
    <w:name w:val="Footer Char"/>
    <w:basedOn w:val="DefaultParagraphFont"/>
    <w:link w:val="Footer"/>
    <w:uiPriority w:val="99"/>
    <w:rsid w:val="00722480"/>
    <w:rPr>
      <w:rFonts w:ascii="Times New Roman" w:eastAsia="Times New Roman" w:hAnsi="Times New Roman" w:cs="Times New Roman"/>
      <w:szCs w:val="20"/>
    </w:rPr>
  </w:style>
  <w:style w:type="table" w:customStyle="1" w:styleId="Kiu2">
    <w:name w:val="Kiểu2"/>
    <w:basedOn w:val="TableNormal"/>
    <w:uiPriority w:val="99"/>
    <w:rsid w:val="005B040F"/>
    <w:pPr>
      <w:spacing w:after="0" w:line="240" w:lineRule="auto"/>
    </w:pPr>
    <w:rPr>
      <w:rFonts w:ascii="Times New Roman" w:eastAsiaTheme="minorEastAsia" w:hAnsi="Times New Roman"/>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4C6E7" w:themeFill="accent1" w:themeFillTint="66"/>
      </w:tcPr>
    </w:tblStylePr>
  </w:style>
  <w:style w:type="character" w:customStyle="1" w:styleId="ListParagraphChar">
    <w:name w:val="List Paragraph Char"/>
    <w:aliases w:val="lp1 Char,List Paragraph11 Char,Steps Char,Bullet 1 Char,bullet Char,List Paragraph1 Char"/>
    <w:basedOn w:val="DefaultParagraphFont"/>
    <w:link w:val="ListParagraph"/>
    <w:uiPriority w:val="34"/>
    <w:rsid w:val="005B040F"/>
    <w:rPr>
      <w:rFonts w:ascii="Times New Roman" w:eastAsia="Times New Roman" w:hAnsi="Times New Roman" w:cs="Times New Roman"/>
      <w:szCs w:val="20"/>
    </w:rPr>
  </w:style>
  <w:style w:type="character" w:styleId="UnresolvedMention">
    <w:name w:val="Unresolved Mention"/>
    <w:basedOn w:val="DefaultParagraphFont"/>
    <w:uiPriority w:val="99"/>
    <w:semiHidden/>
    <w:unhideWhenUsed/>
    <w:rsid w:val="00F37970"/>
    <w:rPr>
      <w:color w:val="605E5C"/>
      <w:shd w:val="clear" w:color="auto" w:fill="E1DFDD"/>
    </w:rPr>
  </w:style>
  <w:style w:type="paragraph" w:customStyle="1" w:styleId="TableText">
    <w:name w:val="Table Text"/>
    <w:basedOn w:val="Normal"/>
    <w:rsid w:val="00277CBE"/>
    <w:pPr>
      <w:spacing w:before="40" w:after="40"/>
      <w:ind w:left="72" w:right="7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62127">
      <w:bodyDiv w:val="1"/>
      <w:marLeft w:val="0"/>
      <w:marRight w:val="0"/>
      <w:marTop w:val="0"/>
      <w:marBottom w:val="0"/>
      <w:divBdr>
        <w:top w:val="none" w:sz="0" w:space="0" w:color="auto"/>
        <w:left w:val="none" w:sz="0" w:space="0" w:color="auto"/>
        <w:bottom w:val="none" w:sz="0" w:space="0" w:color="auto"/>
        <w:right w:val="none" w:sz="0" w:space="0" w:color="auto"/>
      </w:divBdr>
    </w:div>
    <w:div w:id="81224497">
      <w:bodyDiv w:val="1"/>
      <w:marLeft w:val="0"/>
      <w:marRight w:val="0"/>
      <w:marTop w:val="0"/>
      <w:marBottom w:val="0"/>
      <w:divBdr>
        <w:top w:val="none" w:sz="0" w:space="0" w:color="auto"/>
        <w:left w:val="none" w:sz="0" w:space="0" w:color="auto"/>
        <w:bottom w:val="none" w:sz="0" w:space="0" w:color="auto"/>
        <w:right w:val="none" w:sz="0" w:space="0" w:color="auto"/>
      </w:divBdr>
    </w:div>
    <w:div w:id="145978722">
      <w:bodyDiv w:val="1"/>
      <w:marLeft w:val="0"/>
      <w:marRight w:val="0"/>
      <w:marTop w:val="0"/>
      <w:marBottom w:val="0"/>
      <w:divBdr>
        <w:top w:val="none" w:sz="0" w:space="0" w:color="auto"/>
        <w:left w:val="none" w:sz="0" w:space="0" w:color="auto"/>
        <w:bottom w:val="none" w:sz="0" w:space="0" w:color="auto"/>
        <w:right w:val="none" w:sz="0" w:space="0" w:color="auto"/>
      </w:divBdr>
    </w:div>
    <w:div w:id="766653988">
      <w:bodyDiv w:val="1"/>
      <w:marLeft w:val="0"/>
      <w:marRight w:val="0"/>
      <w:marTop w:val="0"/>
      <w:marBottom w:val="0"/>
      <w:divBdr>
        <w:top w:val="none" w:sz="0" w:space="0" w:color="auto"/>
        <w:left w:val="none" w:sz="0" w:space="0" w:color="auto"/>
        <w:bottom w:val="none" w:sz="0" w:space="0" w:color="auto"/>
        <w:right w:val="none" w:sz="0" w:space="0" w:color="auto"/>
      </w:divBdr>
    </w:div>
    <w:div w:id="822545624">
      <w:bodyDiv w:val="1"/>
      <w:marLeft w:val="0"/>
      <w:marRight w:val="0"/>
      <w:marTop w:val="0"/>
      <w:marBottom w:val="0"/>
      <w:divBdr>
        <w:top w:val="none" w:sz="0" w:space="0" w:color="auto"/>
        <w:left w:val="none" w:sz="0" w:space="0" w:color="auto"/>
        <w:bottom w:val="none" w:sz="0" w:space="0" w:color="auto"/>
        <w:right w:val="none" w:sz="0" w:space="0" w:color="auto"/>
      </w:divBdr>
    </w:div>
    <w:div w:id="177373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7E9DD-9AB8-4B02-A153-64172F2C5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19</Pages>
  <Words>4085</Words>
  <Characters>23286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 Nguyen</cp:lastModifiedBy>
  <cp:revision>159</cp:revision>
  <dcterms:created xsi:type="dcterms:W3CDTF">2023-08-22T01:21:00Z</dcterms:created>
  <dcterms:modified xsi:type="dcterms:W3CDTF">2023-08-22T10:25:00Z</dcterms:modified>
</cp:coreProperties>
</file>