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line="280" w:lineRule="auto"/>
        <w:jc w:val="center"/>
      </w:pPr>
      <w:r>
        <w:rPr>
          <w:rFonts w:ascii="Calibri" w:hAnsi="Calibri"/>
          <w:sz w:val="34"/>
          <w:b/>
          <w:color w:val="17365D"/>
        </w:rPr>
        <w:t xml:space="preserve">KẾ HOẠCH PHÂN CÔNG NHIỆM VỤ</w:t>
      </w:r>
    </w:p>
    <w:p>
      <w:pPr>
        <w:spacing w:before="0" w:after="220" w:line="280" w:lineRule="auto"/>
        <w:jc w:val="center"/>
      </w:pPr>
      <w:r>
        <w:rPr>
          <w:rFonts w:ascii="Calibri" w:hAnsi="Calibri"/>
          <w:sz w:val="25"/>
          <w:b/>
          <w:color w:val="2E74B5"/>
        </w:rPr>
        <w:t xml:space="preserve">Recruitment Workflow Management System (RMS)</w:t>
      </w:r>
    </w:p>
    <w:p>
      <w:pPr>
        <w:spacing w:before="0" w:after="60" w:line="280" w:lineRule="auto"/>
        <w:jc w:val="center"/>
      </w:pPr>
      <w:r>
        <w:rPr>
          <w:rFonts w:ascii="Calibri" w:hAnsi="Calibri"/>
          <w:sz w:val="21"/>
        </w:rPr>
        <w:t xml:space="preserve">Nhóm thực hiện: Dũng • Phong • Hiếu • Nam • Lý</w:t>
      </w:r>
    </w:p>
    <w:p>
      <w:pPr>
        <w:spacing w:before="0" w:after="280" w:line="280" w:lineRule="auto"/>
        <w:jc w:val="center"/>
      </w:pPr>
      <w:r>
        <w:rPr>
          <w:rFonts w:ascii="Calibri" w:hAnsi="Calibri"/>
          <w:sz w:val="19"/>
          <w:color w:val="666666"/>
        </w:rPr>
        <w:t xml:space="preserve">Phạm vi: toàn bộ 85 task T-001 đến T-085 trong tài liệu dự án</w:t>
      </w:r>
    </w:p>
    <w:p>
      <w:pPr>
        <w:pStyle w:val="Heading1"/>
        <w:spacing w:before="0" w:after="100" w:line="280" w:lineRule="auto"/>
        <w:keepNext/>
      </w:pPr>
      <w:r>
        <w:rPr>
          <w:rFonts w:ascii="Calibri" w:hAnsi="Calibri"/>
          <w:sz w:val="20"/>
        </w:rPr>
        <w:t xml:space="preserve">Mục tiêu tài liệu</w:t>
      </w:r>
    </w:p>
    <w:p>
      <w:pPr>
        <w:spacing w:before="0" w:after="100" w:line="280" w:lineRule="auto"/>
      </w:pPr>
      <w:r>
        <w:rPr>
          <w:rFonts w:ascii="Calibri" w:hAnsi="Calibri"/>
          <w:sz w:val="20"/>
        </w:rPr>
        <w:t xml:space="preserve">Phân rã toàn bộ phạm vi RMS thành các nhiệm vụ có mã, đầu ra, điều kiện nghiệm thu, phụ thuộc, người thực hiện chính và người kiểm thử độc lập. Phân công được cân bằng ở mức 17 task chính cho mỗi thành viên; tester không trùng với người thực hiện.</w:t>
      </w:r>
    </w:p>
    <w:p>
      <w:pPr>
        <w:pStyle w:val="Heading1"/>
        <w:spacing w:before="0" w:after="100" w:line="280" w:lineRule="auto"/>
        <w:keepNext/>
      </w:pPr>
      <w:r>
        <w:rPr>
          <w:rFonts w:ascii="Calibri" w:hAnsi="Calibri"/>
          <w:sz w:val="20"/>
        </w:rPr>
        <w:t xml:space="preserve">Nguyên tắc làm việc</w:t>
      </w:r>
    </w:p>
    <w:p>
      <w:pPr>
        <w:spacing w:before="0" w:after="55" w:line="280" w:lineRule="auto"/>
      </w:pPr>
      <w:r>
        <w:rPr>
          <w:rFonts w:ascii="Calibri" w:hAnsi="Calibri"/>
          <w:sz w:val="20"/>
        </w:rPr>
        <w:t xml:space="preserve">• Mỗi task phải tạo branch/commit hoặc pull request có mã T-xxx.</w:t>
      </w:r>
    </w:p>
    <w:p>
      <w:pPr>
        <w:spacing w:before="0" w:after="55" w:line="280" w:lineRule="auto"/>
      </w:pPr>
      <w:r>
        <w:rPr>
          <w:rFonts w:ascii="Calibri" w:hAnsi="Calibri"/>
          <w:sz w:val="20"/>
        </w:rPr>
        <w:t xml:space="preserve">• Người thực hiện chịu trách nhiệm code, tự kiểm tra cục bộ và cập nhật tài liệu liên quan.</w:t>
      </w:r>
    </w:p>
    <w:p>
      <w:pPr>
        <w:spacing w:before="0" w:after="55" w:line="280" w:lineRule="auto"/>
      </w:pPr>
      <w:r>
        <w:rPr>
          <w:rFonts w:ascii="Calibri" w:hAnsi="Calibri"/>
          <w:sz w:val="20"/>
        </w:rPr>
        <w:t xml:space="preserve">• Người test đọc tiêu chí nghiệm thu, chạy unit/integration/E2E phù hợp và ghi bằng chứng kiểm thử.</w:t>
      </w:r>
    </w:p>
    <w:p>
      <w:pPr>
        <w:spacing w:before="0" w:after="55" w:line="280" w:lineRule="auto"/>
      </w:pPr>
      <w:r>
        <w:rPr>
          <w:rFonts w:ascii="Calibri" w:hAnsi="Calibri"/>
          <w:sz w:val="20"/>
        </w:rPr>
        <w:t xml:space="preserve">• Task chỉ được đóng khi tester xác nhận Pass; lỗi phải được trả lại đúng người thực hiện.</w:t>
      </w:r>
    </w:p>
    <w:p>
      <w:pPr>
        <w:spacing w:before="0" w:after="55" w:line="280" w:lineRule="auto"/>
      </w:pPr>
      <w:r>
        <w:rPr>
          <w:rFonts w:ascii="Calibri" w:hAnsi="Calibri"/>
          <w:sz w:val="20"/>
        </w:rPr>
        <w:t xml:space="preserve">• Ưu tiên triển khai theo phụ thuộc; không làm task downstream khi task nền tảng chưa ổn định.</w:t>
      </w:r>
    </w:p>
    <w:p>
      <w:pPr>
        <w:pStyle w:val="Heading1"/>
        <w:spacing w:before="0" w:after="100" w:line="280" w:lineRule="auto"/>
        <w:keepNext/>
      </w:pPr>
      <w:r>
        <w:rPr>
          <w:rFonts w:ascii="Calibri" w:hAnsi="Calibri"/>
          <w:sz w:val="20"/>
        </w:rPr>
        <w:t xml:space="preserve">Vai trò chính và khối lượng</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1300"/>
        <w:gridCol w:w="5700"/>
        <w:gridCol w:w="1400"/>
        <w:gridCol w:w="1680"/>
      </w:tblGrid>
      <w:tr>
        <w:trPr>
          <w:tblHeader/>
        </w:trPr>
        <w:tc>
          <w:tcPr>
            <w:tcW w:w="1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Thành viên</w:t>
            </w:r>
          </w:p>
        </w:tc>
        <w:tc>
          <w:tcPr>
            <w:tcW w:w="57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Trọng tâm phụ trách</w:t>
            </w:r>
          </w:p>
        </w:tc>
        <w:tc>
          <w:tcPr>
            <w:tcW w:w="14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 chính</w:t>
            </w:r>
          </w:p>
        </w:tc>
        <w:tc>
          <w:tcPr>
            <w:tcW w:w="168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 kiểm thử</w:t>
            </w:r>
          </w:p>
        </w:tc>
      </w:tr>
      <w:tr>
        <w:tc>
          <w:tcPr>
            <w:tcW w:w="13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57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Backend nền tảng, Identity/Auth, Gateway và bảo mật</w:t>
            </w:r>
          </w:p>
        </w:tc>
        <w:tc>
          <w:tcPr>
            <w:tcW w:w="14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c>
          <w:tcPr>
            <w:tcW w:w="168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r>
      <w:tr>
        <w:tc>
          <w:tcPr>
            <w:tcW w:w="13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57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React, UI/UX, route guard và trải nghiệm người dùng</w:t>
            </w:r>
          </w:p>
        </w:tc>
        <w:tc>
          <w:tcPr>
            <w:tcW w:w="14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17</w:t>
            </w:r>
          </w:p>
        </w:tc>
        <w:tc>
          <w:tcPr>
            <w:tcW w:w="168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17</w:t>
            </w:r>
          </w:p>
        </w:tc>
      </w:tr>
      <w:tr>
        <w:tc>
          <w:tcPr>
            <w:tcW w:w="13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57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Database, Prisma, AI/CV, worker, Redis/BullMQ và tích hợp dữ liệu</w:t>
            </w:r>
          </w:p>
        </w:tc>
        <w:tc>
          <w:tcPr>
            <w:tcW w:w="14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c>
          <w:tcPr>
            <w:tcW w:w="168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r>
      <w:tr>
        <w:tc>
          <w:tcPr>
            <w:tcW w:w="13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57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Recruiting workflow, kế hoạch, phỏng vấn và quyết định tuyển dụng</w:t>
            </w:r>
          </w:p>
        </w:tc>
        <w:tc>
          <w:tcPr>
            <w:tcW w:w="14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17</w:t>
            </w:r>
          </w:p>
        </w:tc>
        <w:tc>
          <w:tcPr>
            <w:tcW w:w="168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17</w:t>
            </w:r>
          </w:p>
        </w:tc>
      </w:tr>
      <w:tr>
        <w:tc>
          <w:tcPr>
            <w:tcW w:w="13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57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Notification, báo cáo, kiểm thử tích hợp, tài liệu và chất lượng phát hành</w:t>
            </w:r>
          </w:p>
        </w:tc>
        <w:tc>
          <w:tcPr>
            <w:tcW w:w="14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c>
          <w:tcPr>
            <w:tcW w:w="168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17</w:t>
            </w:r>
          </w:p>
        </w:tc>
      </w:tr>
    </w:tbl>
    <w:p>
      <w:pPr>
        <w:spacing w:before="0" w:after="80" w:line="280" w:lineRule="auto"/>
      </w:pPr>
      <w:r>
        <w:rPr>
          <w:rFonts w:ascii="Calibri" w:hAnsi="Calibri"/>
          <w:sz w:val="20"/>
        </w:rPr>
        <w:t xml:space="preserve"/>
      </w:r>
    </w:p>
    <w:p>
      <w:pPr>
        <w:pStyle w:val="Heading1"/>
        <w:spacing w:before="0" w:after="100" w:line="280" w:lineRule="auto"/>
        <w:keepNext/>
      </w:pPr>
      <w:r>
        <w:rPr>
          <w:rFonts w:ascii="Calibri" w:hAnsi="Calibri"/>
          <w:sz w:val="20"/>
        </w:rPr>
        <w:t xml:space="preserve">Ma trận phân công chi tiết</w:t>
      </w:r>
    </w:p>
    <w:p>
      <w:pPr>
        <w:spacing w:before="0" w:after="100" w:line="280" w:lineRule="auto"/>
      </w:pPr>
      <w:r>
        <w:rPr>
          <w:rFonts w:ascii="Calibri" w:hAnsi="Calibri"/>
          <w:sz w:val="20"/>
          <w:color w:val="555555"/>
        </w:rPr>
        <w:t xml:space="preserve">Trạng thái khởi tạo cho tất cả task: Chưa bắt đầu. Độ ưu tiên được xác định theo thứ tự phụ thuộc và phase.</w:t>
      </w:r>
    </w:p>
    <w:p>
      <w:pPr>
        <w:pStyle w:val="Heading2"/>
        <w:spacing w:before="0" w:after="100" w:line="280" w:lineRule="auto"/>
        <w:keepNext/>
      </w:pPr>
      <w:r>
        <w:rPr>
          <w:rFonts w:ascii="Calibri" w:hAnsi="Calibri"/>
          <w:sz w:val="20"/>
        </w:rPr>
        <w:t xml:space="preserve">Phase 0: Foundation</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T-001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Verify monorepo workspace (all packages build + typecheck)</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Verify all npm workspaces build and typecheck from the root.</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npm run typecheck and npm run build complete after dependencies are installed.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Không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T-002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Define domain enums in @wr/contracts</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Define canonical domain enums in packages/contracts/src/enums.</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All services and webapp import roles/statuses from @wr/contracts; no local enum copies.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Không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T-003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Create design tokens CSS (packages/ui/src/styles/tokens.css)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Create or verify design tokens in packages/ui/src/styles/tokens.css.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UI components consume CSS variables for color, spacing, radius, status, and typography.</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Không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T-004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CSS reset + IBM Plex Sans/Mono font setup</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Configure CSS reset and IBM Plex Sans/Mono loading.</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Webapp and shared UI render with consistent reset and fonts.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T-003</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T-005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Radix UI primitive wrappers (Button, Input, Badge, etc.)</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Radix-backed UI primitives in packages/ui.</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Button, Input, Textarea, Select, Badge, StatusBadge, Tooltip, Dialog, Tabs, DropdownMenu, Separator, ScrollArea, and Toast are exported.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T-003, T-004</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T-006</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Docker Compose (PostgreSQL 16 pgvector + Redis 7)</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Verify docker-compose.yml starts PostgreSQL 16 with pgvector and Redis 7.</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npm run docker:up exposes Postgres 5432 and Redis 6379.</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Không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T-007</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Prisma schema (all entities)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Align Prisma schema to RMS entities in packages/database/prisma/schema.prisma.</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Models cover identity, workflow, planning, interviews, profiles, documents, notifications, email logs, and offers.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T-002</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T-008</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Run prisma migrate dev</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Run Prisma migration for relational schema changes.</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Migration applies locally and Prisma client generates.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T-006, T-007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T-009</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pgvector extension + vector column migration (raw SQL)</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raw SQL migration for pgvector extension, vector table/column, and index.</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pgvector extension exists and vector similarity query works.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T-008</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T-010</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Seed initial data (org, departments, admin user)</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Seed organization, departments, admin, HR users, department heads, candidates, sample requests, and an approved plan.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Local dev login and role-scoped flows can be exercised from seed data.</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T-008</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1: Identity &amp; Auth</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T-011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Identity service scaffold (NestJS TCP :3010)</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Scaffold or verify services/identity as NestJS TCP service on 3010.</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Service starts and registers identity message patterns.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T-012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User registration handler</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registration with password hashing, role validation, optional OTP activation.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Valid user is created; duplicate email and invalid role are rejected.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T-011, T-007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T-013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Login handler (JWT + refresh token)</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login with JWT and refresh token issue.</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Valid credentials return access and refresh tokens; invalid credentials fail safely.</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T-014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Refresh token rotation</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refresh token rotation.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Used refresh tokens cannot be replayed; new access token is issued.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T-013</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T-015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Logout handler (clear Redis refresh token)</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logout by invalidating refresh token state.</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Logout prevents future refresh with the same token.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T-013</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T-016</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Forgot password (OTP via email)</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forgot-password OTP notification trigger.</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OTP is generated, stored with expiry, and notification/email is queued or logged.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T-017</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Reset password handler</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reset-password with OTP validation.</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Valid OTP updates password; expired or invalid OTP is rejected.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T-016</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T-018</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Gateway JwtAuthGuard + RolesGuard</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Gateway JwtAuthGuard and RolesGuard.</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Protected routes require JWT and role decorators are enforced.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T-013</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T-019</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Gateway auth routes (register, login, refresh, logout, forgot, reset)</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Gateway auth routes for register, login, refresh, logout, forgot, reset, and current user.</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Routes are documented under /api/v1 and proxy to identity service.</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T-020</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Organization + Department CRUD (Identity service)</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organization and department CRUD in identity service.</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Admin can create/update/list orgs and departments; department head assignment is role-valid.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T-021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User management routes (list, update role, activate/deactivate)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user management routes and identity handlers.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manages users; HR leader sees scoped recruiter list where required.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 T-020</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T-022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Login page</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frontend login page.</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Login stores tokens and redirects based on role.</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T-019</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T-023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Registration page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frontend registration page.</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Candidate/internal registration follows allowed role flow and displays validation errors.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T-019</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T-024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Auth context + token management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frontend auth context and token management.</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Access token attaches to API requests; refresh/logout behavior is consistent.</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T-022</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T-025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Role-based route guards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frontend role-based route guards.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Unauthorized roles land on an unauthorized or fallback page.</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T-024</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2: Recruitment Request &amp; Approval</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T-026</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Recruiting service scaffold (NestJS TCP :3011)</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Scaffold or verify services/recruiting as NestJS TCP service on 3011.</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Service starts and exposes recruitment message patterns.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T-027</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Create RecruitmentRequest handler (DRAFT)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create recruitment request in DRAFT.</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Department Head can save position, headcount, JD, skills, justification, urgency.</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T-026, T-007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T-028</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Submit request (DRAFT → PENDING_HR_REVIEW)</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submit transition DRAFT -&gt; PENDING_HR_REVIEW.</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Required fields are validated and HR notification is created.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T-029</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Forward to boss (PENDING_HR_REVIEW → PENDING_BOSS_APPROVAL)</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HR forward transition to Admin approval.</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Only HR leader can forward valid requests to PENDING_BOSS_APPROVAL.</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T-028</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T-030</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Approve request (→ APPROVED)</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Admin approval transition to APPROVED.</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Approval records approver/time and notifies HR and Department Head.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T-029</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T-031</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Reject request (→ REJECTED, with reason)</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rejection with mandatory reason.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Rejected requests store reason and become terminal unless a revision flow explicitly reopens.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T-029</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T-032</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RequestLog audit trail (auto-log on status change)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request log auto-write on every workflow transition.</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Logs include actor, action, from/to status, timestamp, and metadata.</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T-033</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Get request logs endpoint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get request logs endpoint/handler.</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Authorized viewers can see timeline for a request.</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T-032</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T-034</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Gateway: Recruitment request routes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Gateway recruitment request routes.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Routes match docs/backend-endpoints-summary.md and forward actor context.</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 T-027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T-035</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Create request form (Trưởng PB)</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Department Head request creation form.</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Form supports draft and submit paths with validation.</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T-034, T-025</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T-036</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Request list (filtered by role)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role-filtered request list.</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Each role sees only allowed requests.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T-034</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T-037</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Request detail + status timeline</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request detail with status timeline.</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Current status, owner, logs, and available actions are visible.</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T-036</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T-038</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Approve/Reject actions (Admin/Boss)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Admin approve/reject actions.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can approve or reject with reason and sees result immediately.</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T-037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T-039</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Tracking dashboard (Trưởng PB)</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Department Head tracking dashboard.</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Dashboard shows status, handler, filled count, timeline, and logs.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T-033, T-037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3: Recruitment Planning</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T-040</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Create OverallPlan handler</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overall plan creation for approved requests.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Plan dates are valid and request transitions to planning state.</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T-030</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T-041</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Create TaskPlan handler (add tasks to plan)</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task plan creation under an overall plan.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Tasks include type, assignee, start/end dates, deadline, and notes.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T-040</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T-042</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Submit plan for approval (→ PLAN_PENDING_APPROVAL)</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plan submit transition to approval.</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Plan cannot submit without required task coverage.</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T-040</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T-043</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Approve plan (→ ACTIVE) + unlock recruitment activities</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Admin plan approval and campaign activation.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Approval unlocks plan-locked activities and notifies stakeholders.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T-042</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T-044</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Request plan revision (with notes)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plan revision request with notes.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Revision moves plan back to editable state and notifies HR leader.</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T-042</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T-045</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Plan enforcement: block activities if plan not approved</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Enforce plan lock in service layer.</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Locked actions return explicit precondition failure before side effects.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T-043</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T-046</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Update task status (PENDING → IN_PROGRESS → COMPLETED)</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task status updates.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Allowed assignees can move tasks through PENDING, IN_PROGRESS, COMPLETED.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T-041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T-047</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Gateway: Plan routes</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Add Gateway plan and task routes.</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Routes expose overall plan and task plan operations under /api/v1.</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T-040</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T-048</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Plan creation form (HR Manager)</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HR overall plan creation form.</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HR leader can create valid timeline for an approved request.</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T-047, T-025</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T-049</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Task assignment UI</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HR task assignment UI.</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 leader assigns recruiters and deadlines within the overall plan dates.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T-048</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T-050</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Plan review + approve (Admin/Boss)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Admin plan review and approval UI.</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reviews overall plan and tasks, approves, or requests revision with notes.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T-047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4: Candidate &amp; CV Management</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Profiles service scaffold (NestJS TCP :3012)</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Scaffold or verify services/profiles as NestJS TCP service on 3012.</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Service starts and exposes candidate/CV message patterns.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T-001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T-052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Candidate profile CRUD</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candidate profile CRUD.</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Candidate manages own profile; HR/Admin have scoped profile access.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T-051, T-007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CV upload endpoint (file storage)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CV upload and storage metadata.</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PDF/DOC/DOCX limits are enforced and processing status is initialized.</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T-052</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T-054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BullMQ worker: CV text extraction (pdf-parse, mammoth)</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BullMQ CV text extraction processor.</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Worker extracts text, handles parse errors, and updates document status.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T-053</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BullMQ worker: Vector embedding generation</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embedding generation processor.</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Worker creates 384-dimension embeddings and stores them in pgvector-backed storage.</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T-054, T-009</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T-056</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Vector search endpoint (cosine similarity)</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vector search endpoint.</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 search returns ranked candidate profiles with similarity scores and summaries.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T-055</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T-057</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Gateway: Candidate + CV routes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Gateway candidate and CV routes.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Routes enforce role scope and file upload behavior.</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 T-052</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T-058</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CV upload form (Candidate)</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candidate CV upload form.</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Candidate can upload and see processing state or failure.</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T-057, T-025</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T-059</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Candidate search (HR Manager, vector search)</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HR candidate search UI.</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HR can query candidates and inspect ranked results.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T-056, T-057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T-060</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Candidate profile view</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candidate profile view.</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Authorized users can view structured profile, CV metadata, and latest CV.</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T-057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5: Interview &amp; Decision</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T-061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Schedule interview handler</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interview scheduling with plan-lock checks and selected panel members.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Schedule is rejected without approved plan/task or insufficient panel members.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T-026, T-043</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T-062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Get available time slots (interviewer calendar)</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available time slot lookup abstraction.</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API returns conflict-free suggestions or documented conflict warnings.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T-061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T-063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Cancel / reschedule interview handlers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cancel and reschedule handlers.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Changes require reason, update status, and notify candidate/panel.</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T-061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T-064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Record interview result (PASS/FAIL)</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interview result recording.</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PASS/FAIL, scores, notes, and panel feedback are stored.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T-061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T-065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Final hiring decision (Admin/Boss)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final hiring decision.</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decision moves request to hired/not hired path and triggers correct communication.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T-064</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T-066</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Notification service scaffold (NestJS TCP :3013)</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Scaffold or verify notification service on 3013.</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Service starts and exposes notification/email message patterns.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T-001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T-067</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Send interview invitation email</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interview invitation email flow.</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Candidate and panel receive schedule details and email log records delivery.</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T-066, T-061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T-068</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Send Offer Letter email</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offer letter email flow.</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 leader can generate/review/send offer and candidate receives it.</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T-066, T-065</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T-069</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Send rejection email (with reason)</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rejection email flow.</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Failed/not-hired candidates receive professional rejection with reason.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T-066, T-065</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T-070</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In-app notification system</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in-app notification system.</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Notifications are stored, listed, marked read, and available via SSE if supported.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T-066</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T-071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Gateway: Interview + Notification routes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Gateway interview and notification routes.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Routes match implemented role access and endpoint summary.</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 T-061, T-066</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T-072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Interview scheduling (HR Manager)</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HR interview scheduling UI.</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 selects candidate, time, location/link, and at least two interviewers unless exception is supported.</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T-071, T-025</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T-073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Interview calendar view</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interview calendar view.</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Users can see scheduled, rescheduled, cancelled, and completed interviews.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T-072</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T-074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Record interview result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interview result UI.</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HR/panel can submit allowed feedback and result fields.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T-072</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T-075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Hiring decision (Admin/Boss)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Admin hiring decision UI.</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reviews result and sends hire/reject decision.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T-071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T-076</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Notification center</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notification center.</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Users can view unread/read notifications and open related entities.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T-070, T-071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6: Reporting &amp; Analytics</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T-077</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Annual recruitment report endpoint</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annual recruitment report endpoint.</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Admin can query configurable date range and see opened vs filled metrics.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T-026</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T-078</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Department-wise report endpoint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department-wise report endpoint.</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Admin and scoped Department Head can view department stats.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T-077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T-079</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Time-to-hire metrics endpoint</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time-to-hire metrics endpoint.</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Metrics are derived from request logs and hiring/completion timestamps.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T-077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T-080</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Pipeline overview endpoint</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Implement pipeline overview endpoint.</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HR/Admin can see active stage counts, blockers, and pending actions.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T-077</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Lý</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T-081</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Gateway: Report routes</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Add Gateway report routes.</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Report routes enforce role access and query validation.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T-018, T-077</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Phong</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T-082</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Admin dashboard (strategic overview)</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Admin dashboard.</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Admin sees approval queue, strategic metrics, and annual/department report links.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T-081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T-083</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Frontend: HR Manager dashboard (pipeline)</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Build HR dashboard.</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HR sees pipeline, assigned tasks, campaign status, and pending interviews.</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T-081</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r>
        <w:tc>
          <w:tcPr>
            <w:tcW w:w="60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T-084</w:t>
            </w:r>
          </w:p>
        </w:tc>
        <w:tc>
          <w:tcPr>
            <w:tcW w:w="16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Frontend: Department Head dashboard (tracking)</w:t>
            </w:r>
          </w:p>
        </w:tc>
        <w:tc>
          <w:tcPr>
            <w:tcW w:w="23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Build Department Head dashboard.</w:t>
            </w:r>
          </w:p>
        </w:tc>
        <w:tc>
          <w:tcPr>
            <w:tcW w:w="260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Department Head sees own request tracking and department progress.</w:t>
            </w:r>
          </w:p>
        </w:tc>
        <w:tc>
          <w:tcPr>
            <w:tcW w:w="1050" w:type="dxa"/>
            <w:tcMar>
              <w:top w:w="80" w:type="dxa"/>
              <w:left w:w="100" w:type="dxa"/>
              <w:bottom w:w="80" w:type="dxa"/>
              <w:right w:w="100" w:type="dxa"/>
            </w:tcMar>
            <w:shd w:fill="F5F8FA"/>
            <w:vAlign w:val="center"/>
          </w:tcPr>
          <w:p>
            <w:pPr>
              <w:spacing w:before="0" w:after="30" w:line="240" w:lineRule="auto"/>
            </w:pPr>
            <w:r>
              <w:rPr>
                <w:rFonts w:ascii="Calibri" w:hAnsi="Calibri"/>
                <w:sz w:val="16"/>
              </w:rPr>
              <w:t xml:space="preserve">T-039, T-081</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Dũng</w:t>
            </w:r>
          </w:p>
        </w:tc>
        <w:tc>
          <w:tcPr>
            <w:tcW w:w="940" w:type="dxa"/>
            <w:tcMar>
              <w:top w:w="80" w:type="dxa"/>
              <w:left w:w="100" w:type="dxa"/>
              <w:bottom w:w="80" w:type="dxa"/>
              <w:right w:w="100" w:type="dxa"/>
            </w:tcMar>
            <w:shd w:fill="F5F8FA"/>
            <w:vAlign w:val="center"/>
          </w:tcPr>
          <w:p>
            <w:pPr>
              <w:spacing w:before="0" w:after="30" w:line="240" w:lineRule="auto"/>
              <w:jc w:val="center"/>
            </w:pPr>
            <w:r>
              <w:rPr>
                <w:rFonts w:ascii="Calibri" w:hAnsi="Calibri"/>
                <w:sz w:val="16"/>
              </w:rPr>
              <w:t xml:space="preserve">Phong</w:t>
            </w:r>
          </w:p>
        </w:tc>
      </w:tr>
    </w:tbl>
    <w:p>
      <w:pPr>
        <w:spacing w:before="0" w:after="80" w:line="280" w:lineRule="auto"/>
      </w:pPr>
      <w:r>
        <w:rPr>
          <w:rFonts w:ascii="Calibri" w:hAnsi="Calibri"/>
          <w:sz w:val="20"/>
        </w:rPr>
        <w:t xml:space="preserve"/>
      </w:r>
    </w:p>
    <w:p>
      <w:pPr>
        <w:pStyle w:val="Heading2"/>
        <w:spacing w:before="0" w:after="100" w:line="280" w:lineRule="auto"/>
        <w:keepNext/>
      </w:pPr>
      <w:r>
        <w:rPr>
          <w:rFonts w:ascii="Calibri" w:hAnsi="Calibri"/>
          <w:sz w:val="20"/>
        </w:rPr>
        <w:t xml:space="preserve">Phase 7: Requirement v1.0 Workflow Enhancements</w:t>
      </w:r>
    </w:p>
    <w:tbl>
      <w:tblPr>
        <w:tblW w:w="10080" w:type="dxa"/>
        <w:tblLayout w:type="fixed"/>
        <w:tblBorders>
          <w:top w:val="single" w:sz="6" w:color="AAB7C4"/>
          <w:left w:val="single" w:sz="6" w:color="AAB7C4"/>
          <w:bottom w:val="single" w:sz="6" w:color="AAB7C4"/>
          <w:right w:val="single" w:sz="6" w:color="AAB7C4"/>
          <w:insideH w:val="single" w:sz="4" w:color="D6DEE5"/>
          <w:insideV w:val="single" w:sz="4" w:color="D6DEE5"/>
        </w:tblBorders>
      </w:tblPr>
      <w:tblGrid>
        <w:gridCol w:w="600"/>
        <w:gridCol w:w="1650"/>
        <w:gridCol w:w="2300"/>
        <w:gridCol w:w="2600"/>
        <w:gridCol w:w="1050"/>
        <w:gridCol w:w="940"/>
        <w:gridCol w:w="940"/>
      </w:tblGrid>
      <w:tr>
        <w:trPr>
          <w:tblHeader/>
        </w:trPr>
        <w:tc>
          <w:tcPr>
            <w:tcW w:w="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ID</w:t>
            </w:r>
          </w:p>
        </w:tc>
        <w:tc>
          <w:tcPr>
            <w:tcW w:w="16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Task</w:t>
            </w:r>
          </w:p>
        </w:tc>
        <w:tc>
          <w:tcPr>
            <w:tcW w:w="23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Đầu ra/Phạm vi</w:t>
            </w:r>
          </w:p>
        </w:tc>
        <w:tc>
          <w:tcPr>
            <w:tcW w:w="260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Tiêu chí nghiệm thu</w:t>
            </w:r>
          </w:p>
        </w:tc>
        <w:tc>
          <w:tcPr>
            <w:tcW w:w="105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thuộc</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Phụ trách</w:t>
            </w:r>
          </w:p>
        </w:tc>
        <w:tc>
          <w:tcPr>
            <w:tcW w:w="940" w:type="dxa"/>
            <w:tcMar>
              <w:top w:w="80" w:type="dxa"/>
              <w:left w:w="100" w:type="dxa"/>
              <w:bottom w:w="80" w:type="dxa"/>
              <w:right w:w="100" w:type="dxa"/>
            </w:tcMar>
            <w:shd w:fill="1F4E78"/>
            <w:vAlign w:val="center"/>
          </w:tcPr>
          <w:p>
            <w:pPr>
              <w:spacing w:before="0" w:after="30" w:line="240" w:lineRule="auto"/>
              <w:jc w:val="center"/>
            </w:pPr>
            <w:r>
              <w:rPr>
                <w:rFonts w:ascii="Calibri" w:hAnsi="Calibri"/>
                <w:sz w:val="17"/>
                <w:b/>
                <w:color w:val="FFFFFF"/>
              </w:rPr>
              <w:t xml:space="preserve">Tester</w:t>
            </w:r>
          </w:p>
        </w:tc>
      </w:tr>
      <w:tr>
        <w:tc>
          <w:tcPr>
            <w:tcW w:w="60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T-085</w:t>
            </w:r>
          </w:p>
        </w:tc>
        <w:tc>
          <w:tcPr>
            <w:tcW w:w="16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requirement v1.0 interview panel, offer response, tracking, and task/deadline reminders. See task spec.</w:t>
            </w:r>
          </w:p>
        </w:tc>
        <w:tc>
          <w:tcPr>
            <w:tcW w:w="23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Implement requirement v1.0 interview panel, offer response, tracking, and task/deadline reminders. See task spec.</w:t>
            </w:r>
          </w:p>
        </w:tc>
        <w:tc>
          <w:tcPr>
            <w:tcW w:w="260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Hoàn thành chức năng, có unit/integration test phù hợp và cập nhật tài liệu liên quan.</w:t>
            </w:r>
          </w:p>
        </w:tc>
        <w:tc>
          <w:tcPr>
            <w:tcW w:w="1050" w:type="dxa"/>
            <w:tcMar>
              <w:top w:w="80" w:type="dxa"/>
              <w:left w:w="100" w:type="dxa"/>
              <w:bottom w:w="80" w:type="dxa"/>
              <w:right w:w="100" w:type="dxa"/>
            </w:tcMar>
            <w:shd w:fill="FFFFFF"/>
            <w:vAlign w:val="center"/>
          </w:tcPr>
          <w:p>
            <w:pPr>
              <w:spacing w:before="0" w:after="30" w:line="240" w:lineRule="auto"/>
            </w:pPr>
            <w:r>
              <w:rPr>
                <w:rFonts w:ascii="Calibri" w:hAnsi="Calibri"/>
                <w:sz w:val="16"/>
              </w:rPr>
              <w:t xml:space="preserve">T-061, T-065, T-070, T-080, T-084</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Hiếu</w:t>
            </w:r>
          </w:p>
        </w:tc>
        <w:tc>
          <w:tcPr>
            <w:tcW w:w="940" w:type="dxa"/>
            <w:tcMar>
              <w:top w:w="80" w:type="dxa"/>
              <w:left w:w="100" w:type="dxa"/>
              <w:bottom w:w="80" w:type="dxa"/>
              <w:right w:w="100" w:type="dxa"/>
            </w:tcMar>
            <w:shd w:fill="FFFFFF"/>
            <w:vAlign w:val="center"/>
          </w:tcPr>
          <w:p>
            <w:pPr>
              <w:spacing w:before="0" w:after="30" w:line="240" w:lineRule="auto"/>
              <w:jc w:val="center"/>
            </w:pPr>
            <w:r>
              <w:rPr>
                <w:rFonts w:ascii="Calibri" w:hAnsi="Calibri"/>
                <w:sz w:val="16"/>
              </w:rPr>
              <w:t xml:space="preserve">Nam</w:t>
            </w:r>
          </w:p>
        </w:tc>
      </w:tr>
    </w:tbl>
    <w:p>
      <w:pPr>
        <w:spacing w:before="0" w:after="80" w:line="280" w:lineRule="auto"/>
      </w:pPr>
      <w:r>
        <w:rPr>
          <w:rFonts w:ascii="Calibri" w:hAnsi="Calibri"/>
          <w:sz w:val="20"/>
        </w:rPr>
        <w:t xml:space="preserve"/>
      </w:r>
    </w:p>
    <w:p>
      <w:pPr>
        <w:pStyle w:val="Heading1"/>
        <w:spacing w:before="0" w:after="100" w:line="280" w:lineRule="auto"/>
        <w:keepNext/>
      </w:pPr>
      <w:r>
        <w:rPr>
          <w:rFonts w:ascii="Calibri" w:hAnsi="Calibri"/>
          <w:sz w:val="20"/>
        </w:rPr>
        <w:t xml:space="preserve">Quy trình kiểm thử và bàn giao</w:t>
      </w:r>
    </w:p>
    <w:p>
      <w:pPr>
        <w:spacing w:before="0" w:after="65" w:line="280" w:lineRule="auto"/>
      </w:pPr>
      <w:r>
        <w:rPr>
          <w:rFonts w:ascii="Calibri" w:hAnsi="Calibri"/>
          <w:sz w:val="20"/>
        </w:rPr>
        <w:t xml:space="preserve">1. Developer hoàn thành code và tự kiểm tra lint/typecheck/unit test.</w:t>
      </w:r>
    </w:p>
    <w:p>
      <w:pPr>
        <w:spacing w:before="0" w:after="65" w:line="280" w:lineRule="auto"/>
      </w:pPr>
      <w:r>
        <w:rPr>
          <w:rFonts w:ascii="Calibri" w:hAnsi="Calibri"/>
          <w:sz w:val="20"/>
        </w:rPr>
        <w:t xml:space="preserve">2. Developer gửi link PR/commit và hướng dẫn test cho tester được chỉ định.</w:t>
      </w:r>
    </w:p>
    <w:p>
      <w:pPr>
        <w:spacing w:before="0" w:after="65" w:line="280" w:lineRule="auto"/>
      </w:pPr>
      <w:r>
        <w:rPr>
          <w:rFonts w:ascii="Calibri" w:hAnsi="Calibri"/>
          <w:sz w:val="20"/>
        </w:rPr>
        <w:t xml:space="preserve">3. Tester chạy test theo tiêu chí nghiệm thu, kiểm tra role/permission và trường hợp lỗi.</w:t>
      </w:r>
    </w:p>
    <w:p>
      <w:pPr>
        <w:spacing w:before="0" w:after="65" w:line="280" w:lineRule="auto"/>
      </w:pPr>
      <w:r>
        <w:rPr>
          <w:rFonts w:ascii="Calibri" w:hAnsi="Calibri"/>
          <w:sz w:val="20"/>
        </w:rPr>
        <w:t xml:space="preserve">4. Nếu Fail: tạo bug note kèm bước tái hiện; developer sửa và tester retest.</w:t>
      </w:r>
    </w:p>
    <w:p>
      <w:pPr>
        <w:spacing w:before="0" w:after="65" w:line="280" w:lineRule="auto"/>
      </w:pPr>
      <w:r>
        <w:rPr>
          <w:rFonts w:ascii="Calibri" w:hAnsi="Calibri"/>
          <w:sz w:val="20"/>
        </w:rPr>
        <w:t xml:space="preserve">5. Nếu Pass: tester ghi kết quả, ngày kiểm thử và bằng chứng; task chuyển Done.</w:t>
      </w:r>
    </w:p>
    <w:p>
      <w:pPr>
        <w:pStyle w:val="Heading1"/>
        <w:spacing w:before="0" w:after="100" w:line="280" w:lineRule="auto"/>
        <w:keepNext/>
      </w:pPr>
      <w:r>
        <w:rPr>
          <w:rFonts w:ascii="Calibri" w:hAnsi="Calibri"/>
          <w:sz w:val="20"/>
        </w:rPr>
        <w:t xml:space="preserve">Definition of Done chung</w:t>
      </w:r>
    </w:p>
    <w:p>
      <w:pPr>
        <w:spacing w:before="0" w:after="55" w:line="280" w:lineRule="auto"/>
      </w:pPr>
      <w:r>
        <w:rPr>
          <w:rFonts w:ascii="Calibri" w:hAnsi="Calibri"/>
          <w:sz w:val="20"/>
        </w:rPr>
        <w:t xml:space="preserve">☐ Code tuân thủ TypeScript strict, không tạo enum/contract trùng lặp.</w:t>
      </w:r>
    </w:p>
    <w:p>
      <w:pPr>
        <w:spacing w:before="0" w:after="55" w:line="280" w:lineRule="auto"/>
      </w:pPr>
      <w:r>
        <w:rPr>
          <w:rFonts w:ascii="Calibri" w:hAnsi="Calibri"/>
          <w:sz w:val="20"/>
        </w:rPr>
        <w:t xml:space="preserve">☐ API có validation, phân quyền và xử lý lỗi; thay đổi schema có migration/seed.</w:t>
      </w:r>
    </w:p>
    <w:p>
      <w:pPr>
        <w:spacing w:before="0" w:after="55" w:line="280" w:lineRule="auto"/>
      </w:pPr>
      <w:r>
        <w:rPr>
          <w:rFonts w:ascii="Calibri" w:hAnsi="Calibri"/>
          <w:sz w:val="20"/>
        </w:rPr>
        <w:t xml:space="preserve">☐ Luồng trạng thái có test; frontend có loading, empty, error và unauthorized states.</w:t>
      </w:r>
    </w:p>
    <w:p>
      <w:pPr>
        <w:spacing w:before="0" w:after="55" w:line="280" w:lineRule="auto"/>
      </w:pPr>
      <w:r>
        <w:rPr>
          <w:rFonts w:ascii="Calibri" w:hAnsi="Calibri"/>
          <w:sz w:val="20"/>
        </w:rPr>
        <w:t xml:space="preserve">☐ Không phá vỡ plan-lock, audit trail, notification hoặc dữ liệu hiện hữu.</w:t>
      </w:r>
    </w:p>
    <w:p>
      <w:pPr>
        <w:spacing w:before="0" w:after="55" w:line="280" w:lineRule="auto"/>
      </w:pPr>
      <w:r>
        <w:rPr>
          <w:rFonts w:ascii="Calibri" w:hAnsi="Calibri"/>
          <w:sz w:val="20"/>
        </w:rPr>
        <w:t xml:space="preserve">☐ Tài liệu endpoint, cấu trúc dữ liệu và hướng dẫn chạy được cập nhật cùng thay đổi.</w:t>
      </w:r>
    </w:p>
    <w:p>
      <w:pPr>
        <w:spacing w:before="0" w:after="55" w:line="280" w:lineRule="auto"/>
      </w:pPr>
      <w:r>
        <w:rPr>
          <w:rFonts w:ascii="Calibri" w:hAnsi="Calibri"/>
          <w:sz w:val="20"/>
        </w:rPr>
        <w:t xml:space="preserve">☐ Build và typecheck toàn workspace vượt qua trước khi merge.</w:t>
      </w:r>
    </w:p>
    <w:p>
      <w:pPr>
        <w:spacing w:before="180" w:after="100" w:line="280" w:lineRule="auto"/>
      </w:pPr>
      <w:r>
        <w:rPr>
          <w:rFonts w:ascii="Calibri" w:hAnsi="Calibri"/>
          <w:sz w:val="17"/>
          <w:color w:val="666666"/>
        </w:rPr>
        <w:t xml:space="preserve">Nguồn lập kế hoạch: docs/all-tasks.md; docs/specs/spec-rms-implementation/task-implementation-matrix.md; docs/project-overview.md; docs/architecture.md.</w:t>
      </w:r>
    </w:p>
    <w:sectPr>
      <w:pgSz w:w="12240" w:h="15840"/>
      <w:pgMar w:top="1080" w:right="1080" w:bottom="1080" w:left="1080" w:header="708" w:footer="708"/>
      <w:cols w:space="708"/>
      <w:docGrid w:linePitch="360"/>
    </w:sectPr>
  </w:body>
</w:document>
</file>

<file path=word/styles.xml><?xml version="1.0" encoding="utf-8"?>
<w:styles xmlns:w="http://schemas.openxmlformats.org/wordprocessingml/2006/main">
  <w:docDefaults>
    <w:rPrDefault>
      <w:rPr>
        <w:rFonts w:ascii="Calibri" w:hAnsi="Calibri"/>
        <w:sz w:val="20"/>
      </w:rPr>
    </w:rPrDefault>
  </w:docDefaults>
  <w:style w:type="paragraph" w:default="1" w:styleId="Normal">
    <w:name w:val="Normal"/>
    <w:pPr>
      <w:spacing w:after="120" w:line="300" w:lineRule="auto"/>
    </w:pPr>
  </w:style>
  <w:style w:type="paragraph" w:styleId="Heading1">
    <w:name w:val="heading 1"/>
    <w:basedOn w:val="Normal"/>
    <w:next w:val="Normal"/>
    <w:pPr>
      <w:keepNext/>
      <w:spacing w:before="360" w:after="200"/>
    </w:pPr>
    <w:rPr>
      <w:b/>
      <w:color w:val="2E74B5"/>
      <w:sz w:val="32"/>
    </w:rPr>
  </w:style>
  <w:style w:type="paragraph" w:styleId="Heading2">
    <w:name w:val="heading 2"/>
    <w:basedOn w:val="Normal"/>
    <w:next w:val="Normal"/>
    <w:pPr>
      <w:keepNext/>
      <w:spacing w:before="280" w:after="140"/>
    </w:pPr>
    <w:rPr>
      <w:b/>
      <w:color w:val="2E74B5"/>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