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20"/>
      </w:pPr>
      <w:r>
        <w:rPr>
          <w:rFonts w:ascii="Times New Roman" w:hAnsi="Times New Roman"/>
          <w:b/>
          <w:color w:val="000000"/>
          <w:sz w:val="24"/>
        </w:rPr>
        <w:t>Task 1: Implement multi-tenant RolesGuard using Reflector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AI Tool Used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Gemini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SDLC Phase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Implementation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Quantitative Measure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Configure authorization for 3 roles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Value Added (1-5)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Risks &amp; Limitations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Role changes in DB are not instantly reflected in active session tokens.</w:t>
            </w:r>
          </w:p>
        </w:tc>
      </w:tr>
    </w:tbl>
    <w:p>
      <w:pPr>
        <w:spacing w:after="120"/>
      </w:pPr>
    </w:p>
    <w:p>
      <w:pPr>
        <w:keepNext/>
      </w:pPr>
      <w:r>
        <w:rPr>
          <w:rFonts w:ascii="Times New Roman" w:hAnsi="Times New Roman"/>
          <w:b/>
          <w:sz w:val="24"/>
        </w:rPr>
        <w:t>1. Prompt Sent to AI (Prompt)</w:t>
      </w:r>
    </w:p>
    <w:p>
      <w:pPr>
        <w:spacing w:after="240"/>
        <w:ind w:left="360" w:right="360"/>
      </w:pPr>
      <w:r>
        <w:rPr>
          <w:rFonts w:ascii="Times New Roman" w:hAnsi="Times New Roman"/>
          <w:i/>
          <w:sz w:val="24"/>
        </w:rPr>
        <w:t>Write a RolesGuard in NestJS checking roles via metadata. Support multi-tenancy by matching user organizationId with request params.</w:t>
      </w:r>
    </w:p>
    <w:p>
      <w:pPr>
        <w:keepNext/>
      </w:pPr>
      <w:r>
        <w:rPr>
          <w:rFonts w:ascii="Times New Roman" w:hAnsi="Times New Roman"/>
          <w:b/>
          <w:sz w:val="24"/>
        </w:rPr>
        <w:t>2. Detailed AI Response</w:t>
      </w:r>
    </w:p>
    <w:p>
      <w:pPr>
        <w:spacing w:after="160"/>
      </w:pPr>
      <w:r>
        <w:rPr>
          <w:rFonts w:ascii="Times New Roman" w:hAnsi="Times New Roman"/>
          <w:sz w:val="24"/>
        </w:rPr>
        <w:t>Extract roles from Reflector and compare `user.organizationId` with `req.params.orgId`. Throw ForbiddenException on mismatch.</w:t>
      </w:r>
    </w:p>
    <w:p>
      <w:pPr>
        <w:keepNext/>
      </w:pPr>
      <w:r>
        <w:rPr>
          <w:rFonts w:ascii="Times New Roman" w:hAnsi="Times New Roman"/>
          <w:b/>
          <w:sz w:val="24"/>
        </w:rPr>
        <w:t>3. Student's Validation, Selection &amp; Source Code Customization</w:t>
      </w:r>
    </w:p>
    <w:p>
      <w:pPr>
        <w:spacing w:after="480"/>
      </w:pPr>
      <w:r>
        <w:rPr>
          <w:rFonts w:ascii="Times New Roman" w:hAnsi="Times New Roman"/>
          <w:sz w:val="24"/>
        </w:rPr>
        <w:t>We reviewed the RolesGuard code. We customized it to perform a dual check: (1) user has the correct role (e.g. `DEPT_HEAD`) and (2) user belongs to the requested organization (`user.organizationId === req.params.orgId`). This prevents horizontal privilege escalation.</w:t>
      </w:r>
    </w:p>
    <w:p>
      <w:pPr>
        <w:keepNext/>
        <w:spacing w:before="360" w:after="120"/>
      </w:pPr>
      <w:r>
        <w:rPr>
          <w:rFonts w:ascii="Times New Roman" w:hAnsi="Times New Roman"/>
          <w:b/>
          <w:color w:val="000000"/>
          <w:sz w:val="24"/>
        </w:rPr>
        <w:t>Task 2: Pass user context (userId, orgId) via TCP microservice transporter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AI Tool Used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Gemini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SDLC Phase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Implementation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Quantitative Measure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Pass context between 2 microservices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Value Added (1-5)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Risks &amp; Limitations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TCP payload is read-only; requires cloning before inserting context.</w:t>
            </w:r>
          </w:p>
        </w:tc>
      </w:tr>
    </w:tbl>
    <w:p>
      <w:pPr>
        <w:spacing w:after="120"/>
      </w:pPr>
    </w:p>
    <w:p>
      <w:pPr>
        <w:keepNext/>
      </w:pPr>
      <w:r>
        <w:rPr>
          <w:rFonts w:ascii="Times New Roman" w:hAnsi="Times New Roman"/>
          <w:b/>
          <w:sz w:val="24"/>
        </w:rPr>
        <w:t>1. Prompt Sent to AI (Prompt)</w:t>
      </w:r>
    </w:p>
    <w:p>
      <w:pPr>
        <w:spacing w:after="240"/>
        <w:ind w:left="360" w:right="360"/>
      </w:pPr>
      <w:r>
        <w:rPr>
          <w:rFonts w:ascii="Times New Roman" w:hAnsi="Times New Roman"/>
          <w:i/>
          <w:sz w:val="24"/>
        </w:rPr>
        <w:t>How do we pass authenticated userId and organizationId from Gateway to microservices via NestJS TCP transporter?</w:t>
      </w:r>
    </w:p>
    <w:p>
      <w:pPr>
        <w:keepNext/>
      </w:pPr>
      <w:r>
        <w:rPr>
          <w:rFonts w:ascii="Times New Roman" w:hAnsi="Times New Roman"/>
          <w:b/>
          <w:sz w:val="24"/>
        </w:rPr>
        <w:t>2. Detailed AI Response</w:t>
      </w:r>
    </w:p>
    <w:p>
      <w:pPr>
        <w:spacing w:after="160"/>
      </w:pPr>
      <w:r>
        <w:rPr>
          <w:rFonts w:ascii="Times New Roman" w:hAnsi="Times New Roman"/>
          <w:sz w:val="24"/>
        </w:rPr>
        <w:t>Wrap payload in an envelope object:</w:t>
      </w:r>
    </w:p>
    <w:p>
      <w:pPr>
        <w:spacing w:after="200"/>
        <w:ind w:left="432"/>
      </w:pPr>
      <w:r>
        <w:rPr>
          <w:rFonts w:ascii="Times New Roman" w:hAnsi="Times New Roman"/>
          <w:sz w:val="24"/>
        </w:rPr>
        <w:t>this.client.send('pattern', { data: payload, context: { userId, orgId } });</w:t>
      </w:r>
    </w:p>
    <w:p>
      <w:pPr>
        <w:keepNext/>
      </w:pPr>
      <w:r>
        <w:rPr>
          <w:rFonts w:ascii="Times New Roman" w:hAnsi="Times New Roman"/>
          <w:b/>
          <w:sz w:val="24"/>
        </w:rPr>
        <w:t>3. Student's Validation, Selection &amp; Source Code Customization</w:t>
      </w:r>
    </w:p>
    <w:p>
      <w:pPr>
        <w:spacing w:after="480"/>
      </w:pPr>
      <w:r>
        <w:rPr>
          <w:rFonts w:ascii="Times New Roman" w:hAnsi="Times New Roman"/>
          <w:sz w:val="24"/>
        </w:rPr>
        <w:t>We reviewed the microservice communication. Since NestJS TCP transporter lacks HTTP headers, we wrapped all RPC payloads in a standard envelope containing a `context` block. On the receiving microservice, we built an Interceptor to extract this context and bind it to the execution context.</w:t>
      </w:r>
    </w:p>
    <w:p>
      <w:pPr>
        <w:keepNext/>
        <w:spacing w:before="360" w:after="120"/>
      </w:pPr>
      <w:r>
        <w:rPr>
          <w:rFonts w:ascii="Times New Roman" w:hAnsi="Times New Roman"/>
          <w:b/>
          <w:color w:val="000000"/>
          <w:sz w:val="24"/>
        </w:rPr>
        <w:t>Task 3: Write integration tests verifying multi-tenant data isolation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AI Tool Used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Gemini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SDLC Phase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Testing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Quantitative Measure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Execute 6 integration test scenarios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Value Added (1-5)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/>
                <w:b/>
                <w:sz w:val="24"/>
              </w:rPr>
              <w:t>Risks &amp; Limitations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/>
                <w:sz w:val="24"/>
              </w:rPr>
              <w:t>Malformed UUIDs in mock data might throw format errors before data isolation logic runs.</w:t>
            </w:r>
          </w:p>
        </w:tc>
      </w:tr>
    </w:tbl>
    <w:p>
      <w:pPr>
        <w:spacing w:after="120"/>
      </w:pPr>
    </w:p>
    <w:p>
      <w:pPr>
        <w:keepNext/>
      </w:pPr>
      <w:r>
        <w:rPr>
          <w:rFonts w:ascii="Times New Roman" w:hAnsi="Times New Roman"/>
          <w:b/>
          <w:sz w:val="24"/>
        </w:rPr>
        <w:t>1. Prompt Sent to AI (Prompt)</w:t>
      </w:r>
    </w:p>
    <w:p>
      <w:pPr>
        <w:spacing w:after="240"/>
        <w:ind w:left="360" w:right="360"/>
      </w:pPr>
      <w:r>
        <w:rPr>
          <w:rFonts w:ascii="Times New Roman" w:hAnsi="Times New Roman"/>
          <w:i/>
          <w:sz w:val="24"/>
        </w:rPr>
        <w:t>Create integration tests in Jest to verify that users from Org A cannot read or write resources of Org B.</w:t>
      </w:r>
    </w:p>
    <w:p>
      <w:pPr>
        <w:keepNext/>
      </w:pPr>
      <w:r>
        <w:rPr>
          <w:rFonts w:ascii="Times New Roman" w:hAnsi="Times New Roman"/>
          <w:b/>
          <w:sz w:val="24"/>
        </w:rPr>
        <w:t>2. Detailed AI Response</w:t>
      </w:r>
    </w:p>
    <w:p>
      <w:pPr>
        <w:spacing w:after="160"/>
      </w:pPr>
      <w:r>
        <w:rPr>
          <w:rFonts w:ascii="Times New Roman" w:hAnsi="Times New Roman"/>
          <w:sz w:val="24"/>
        </w:rPr>
        <w:t>Call endpoint with Org A token but Org B resource ID. Assert 403 Forbidden is returned.</w:t>
      </w:r>
    </w:p>
    <w:p>
      <w:pPr>
        <w:keepNext/>
      </w:pPr>
      <w:r>
        <w:rPr>
          <w:rFonts w:ascii="Times New Roman" w:hAnsi="Times New Roman"/>
          <w:b/>
          <w:sz w:val="24"/>
        </w:rPr>
        <w:t>3. Student's Validation, Selection &amp; Source Code Customization</w:t>
      </w:r>
    </w:p>
    <w:p>
      <w:pPr>
        <w:spacing w:after="480"/>
      </w:pPr>
      <w:r>
        <w:rPr>
          <w:rFonts w:ascii="Times New Roman" w:hAnsi="Times New Roman"/>
          <w:sz w:val="24"/>
        </w:rPr>
        <w:t>We configured integration tests. We verified isolation by sending requests using a User A token but replacing resource IDs with User B's resources, confirming that Gateway blocks them with 403 Forbidden.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