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Pr>
        <w:jc w:val="center"/>
      </w:pPr>
      <w:r>
        <w:rPr>
          <w:b/>
          <w:sz w:val="48"/>
        </w:rPr>
        <w:t>Uncertainty-Aware Hybrid CNN Ensemble for Four-Class Acute Lymphoblastic Leukemia Subtyping with MC Dropout</w:t>
      </w:r>
    </w:p>
    <w:p>
      <w:pPr>
        <w:jc w:val="center"/>
      </w:pPr>
      <w:r>
        <w:rPr>
          <w:sz w:val="28"/>
        </w:rPr>
        <w:t>How It Works — A Non-Technical Guide</w:t>
      </w:r>
    </w:p>
    <w:p>
      <w:pPr>
        <w:jc w:val="center"/>
      </w:pPr>
      <w:r>
        <w:rPr>
          <w:sz w:val="28"/>
        </w:rPr>
        <w:t>Divya Reddy</w:t>
      </w:r>
    </w:p>
    <w:p>
      <w:pPr>
        <w:jc w:val="center"/>
      </w:pPr>
      <w:r>
        <w:t>IMPORTANT NOTICE: This software is a research and educational project. It is not approved for clinical diagnosis.</w:t>
      </w:r>
    </w:p>
    <w:p>
      <w:r>
        <w:br w:type="page"/>
      </w:r>
    </w:p>
    <w:p>
      <w:pPr>
        <w:pStyle w:val="Heading1"/>
      </w:pPr>
      <w:r>
        <w:t>1. What This Project Does</w:t>
      </w:r>
    </w:p>
    <w:p>
      <w:r>
        <w:t>Acute Lymphoblastic Leukaemia (ALL) is a type of blood cancer that affects white blood cells. Doctors diagnose it by examining a thin smear of blood under a microscope — a peripheral blood smear. This project builds software that looks at those photographs and sorts them into four groups:</w:t>
      </w:r>
    </w:p>
    <w:p>
      <w:pPr>
        <w:pStyle w:val="ListBullet"/>
      </w:pPr>
      <w:r>
        <w:t>Benign — normal, healthy cells (no cancer).</w:t>
      </w:r>
    </w:p>
    <w:p>
      <w:pPr>
        <w:pStyle w:val="ListBullet"/>
      </w:pPr>
      <w:r>
        <w:t>[Malignant] early Pre-B — cancer cells at an early stage.</w:t>
      </w:r>
    </w:p>
    <w:p>
      <w:pPr>
        <w:pStyle w:val="ListBullet"/>
      </w:pPr>
      <w:r>
        <w:t>[Malignant] Pre-B — cancer cells at the Pre-B stage.</w:t>
      </w:r>
    </w:p>
    <w:p>
      <w:pPr>
        <w:pStyle w:val="ListBullet"/>
      </w:pPr>
      <w:r>
        <w:t>[Malignant] Pro-B — cancer cells at the Pro-B stage.</w:t>
      </w:r>
    </w:p>
    <w:p>
      <w:r>
        <w:t>The user uploads a blood smear photograph through a web browser. The software returns the predicted class, a confidence score, and a highlighted image showing which part of the cell it focused on.</w:t>
      </w:r>
    </w:p>
    <w:p>
      <w:r>
        <w:t>NOT FOR CLINICAL USE. This is a research project. All results must be verified by a qualified medical professional.</w:t>
      </w:r>
    </w:p>
    <w:p>
      <w:pPr>
        <w:pStyle w:val="Heading1"/>
      </w:pPr>
      <w:r>
        <w:t>2. The Data</w:t>
      </w:r>
    </w:p>
    <w:p>
      <w:r>
        <w:t>The images come from a public Kaggle dataset called 'Blood Cells Cancer (ALL)' by Aria et al. It contains 3,242 microscope photographs of stained blood cells.</w:t>
      </w:r>
    </w:p>
    <w:p>
      <w:pPr>
        <w:pStyle w:val="Heading2"/>
      </w:pPr>
      <w:r>
        <w:t>Class Counts</w:t>
      </w:r>
    </w:p>
    <w:tbl>
      <w:tblPr>
        <w:tblStyle w:val="LightShading-Accent1"/>
        <w:tblW w:type="auto" w:w="0"/>
        <w:tblLook w:firstColumn="1" w:firstRow="1" w:lastColumn="0" w:lastRow="0" w:noHBand="0" w:noVBand="1" w:val="04A0"/>
      </w:tblPr>
      <w:tblGrid>
        <w:gridCol w:w="1728"/>
        <w:gridCol w:w="1728"/>
        <w:gridCol w:w="1728"/>
        <w:gridCol w:w="1728"/>
        <w:gridCol w:w="1728"/>
      </w:tblGrid>
      <w:tr>
        <w:tc>
          <w:tcPr>
            <w:tcW w:type="dxa" w:w="1728"/>
          </w:tcPr>
          <w:p>
            <w:r>
              <w:t>Class</w:t>
            </w:r>
          </w:p>
        </w:tc>
        <w:tc>
          <w:tcPr>
            <w:tcW w:type="dxa" w:w="1728"/>
          </w:tcPr>
          <w:p>
            <w:r>
              <w:t>Training</w:t>
            </w:r>
          </w:p>
        </w:tc>
        <w:tc>
          <w:tcPr>
            <w:tcW w:type="dxa" w:w="1728"/>
          </w:tcPr>
          <w:p>
            <w:r>
              <w:t>Validation</w:t>
            </w:r>
          </w:p>
        </w:tc>
        <w:tc>
          <w:tcPr>
            <w:tcW w:type="dxa" w:w="1728"/>
          </w:tcPr>
          <w:p>
            <w:r>
              <w:t>Test</w:t>
            </w:r>
          </w:p>
        </w:tc>
        <w:tc>
          <w:tcPr>
            <w:tcW w:type="dxa" w:w="1728"/>
          </w:tcPr>
          <w:p>
            <w:r>
              <w:t>Total</w:t>
            </w:r>
          </w:p>
        </w:tc>
      </w:tr>
      <w:tr>
        <w:tc>
          <w:tcPr>
            <w:tcW w:type="dxa" w:w="1728"/>
          </w:tcPr>
          <w:p>
            <w:r>
              <w:t>Benign</w:t>
            </w:r>
          </w:p>
        </w:tc>
        <w:tc>
          <w:tcPr>
            <w:tcW w:type="dxa" w:w="1728"/>
          </w:tcPr>
          <w:p>
            <w:r>
              <w:t>358</w:t>
            </w:r>
          </w:p>
        </w:tc>
        <w:tc>
          <w:tcPr>
            <w:tcW w:type="dxa" w:w="1728"/>
          </w:tcPr>
          <w:p>
            <w:r>
              <w:t>77</w:t>
            </w:r>
          </w:p>
        </w:tc>
        <w:tc>
          <w:tcPr>
            <w:tcW w:type="dxa" w:w="1728"/>
          </w:tcPr>
          <w:p>
            <w:r>
              <w:t>77</w:t>
            </w:r>
          </w:p>
        </w:tc>
        <w:tc>
          <w:tcPr>
            <w:tcW w:type="dxa" w:w="1728"/>
          </w:tcPr>
          <w:p>
            <w:r>
              <w:t>512</w:t>
            </w:r>
          </w:p>
        </w:tc>
      </w:tr>
      <w:tr>
        <w:tc>
          <w:tcPr>
            <w:tcW w:type="dxa" w:w="1728"/>
          </w:tcPr>
          <w:p>
            <w:r>
              <w:t>[Malignant] early Pre-B</w:t>
            </w:r>
          </w:p>
        </w:tc>
        <w:tc>
          <w:tcPr>
            <w:tcW w:type="dxa" w:w="1728"/>
          </w:tcPr>
          <w:p>
            <w:r>
              <w:t>685</w:t>
            </w:r>
          </w:p>
        </w:tc>
        <w:tc>
          <w:tcPr>
            <w:tcW w:type="dxa" w:w="1728"/>
          </w:tcPr>
          <w:p>
            <w:r>
              <w:t>147</w:t>
            </w:r>
          </w:p>
        </w:tc>
        <w:tc>
          <w:tcPr>
            <w:tcW w:type="dxa" w:w="1728"/>
          </w:tcPr>
          <w:p>
            <w:r>
              <w:t>147</w:t>
            </w:r>
          </w:p>
        </w:tc>
        <w:tc>
          <w:tcPr>
            <w:tcW w:type="dxa" w:w="1728"/>
          </w:tcPr>
          <w:p>
            <w:r>
              <w:t>979</w:t>
            </w:r>
          </w:p>
        </w:tc>
      </w:tr>
      <w:tr>
        <w:tc>
          <w:tcPr>
            <w:tcW w:type="dxa" w:w="1728"/>
          </w:tcPr>
          <w:p>
            <w:r>
              <w:t>[Malignant] Pre-B</w:t>
            </w:r>
          </w:p>
        </w:tc>
        <w:tc>
          <w:tcPr>
            <w:tcW w:type="dxa" w:w="1728"/>
          </w:tcPr>
          <w:p>
            <w:r>
              <w:t>669</w:t>
            </w:r>
          </w:p>
        </w:tc>
        <w:tc>
          <w:tcPr>
            <w:tcW w:type="dxa" w:w="1728"/>
          </w:tcPr>
          <w:p>
            <w:r>
              <w:t>143</w:t>
            </w:r>
          </w:p>
        </w:tc>
        <w:tc>
          <w:tcPr>
            <w:tcW w:type="dxa" w:w="1728"/>
          </w:tcPr>
          <w:p>
            <w:r>
              <w:t>143</w:t>
            </w:r>
          </w:p>
        </w:tc>
        <w:tc>
          <w:tcPr>
            <w:tcW w:type="dxa" w:w="1728"/>
          </w:tcPr>
          <w:p>
            <w:r>
              <w:t>955</w:t>
            </w:r>
          </w:p>
        </w:tc>
      </w:tr>
      <w:tr>
        <w:tc>
          <w:tcPr>
            <w:tcW w:type="dxa" w:w="1728"/>
          </w:tcPr>
          <w:p>
            <w:r>
              <w:t>[Malignant] Pro-B</w:t>
            </w:r>
          </w:p>
        </w:tc>
        <w:tc>
          <w:tcPr>
            <w:tcW w:type="dxa" w:w="1728"/>
          </w:tcPr>
          <w:p>
            <w:r>
              <w:t>557</w:t>
            </w:r>
          </w:p>
        </w:tc>
        <w:tc>
          <w:tcPr>
            <w:tcW w:type="dxa" w:w="1728"/>
          </w:tcPr>
          <w:p>
            <w:r>
              <w:t>119</w:t>
            </w:r>
          </w:p>
        </w:tc>
        <w:tc>
          <w:tcPr>
            <w:tcW w:type="dxa" w:w="1728"/>
          </w:tcPr>
          <w:p>
            <w:r>
              <w:t>120</w:t>
            </w:r>
          </w:p>
        </w:tc>
        <w:tc>
          <w:tcPr>
            <w:tcW w:type="dxa" w:w="1728"/>
          </w:tcPr>
          <w:p>
            <w:r>
              <w:t>796</w:t>
            </w:r>
          </w:p>
        </w:tc>
      </w:tr>
      <w:tr>
        <w:tc>
          <w:tcPr>
            <w:tcW w:type="dxa" w:w="1728"/>
          </w:tcPr>
          <w:p>
            <w:r>
              <w:t>Total</w:t>
            </w:r>
          </w:p>
        </w:tc>
        <w:tc>
          <w:tcPr>
            <w:tcW w:type="dxa" w:w="1728"/>
          </w:tcPr>
          <w:p>
            <w:r>
              <w:t>2269</w:t>
            </w:r>
          </w:p>
        </w:tc>
        <w:tc>
          <w:tcPr>
            <w:tcW w:type="dxa" w:w="1728"/>
          </w:tcPr>
          <w:p>
            <w:r>
              <w:t>486</w:t>
            </w:r>
          </w:p>
        </w:tc>
        <w:tc>
          <w:tcPr>
            <w:tcW w:type="dxa" w:w="1728"/>
          </w:tcPr>
          <w:p>
            <w:r>
              <w:t>487</w:t>
            </w:r>
          </w:p>
        </w:tc>
        <w:tc>
          <w:tcPr>
            <w:tcW w:type="dxa" w:w="1728"/>
          </w:tcPr>
          <w:p>
            <w:r>
              <w:t>3242</w:t>
            </w:r>
          </w:p>
        </w:tc>
      </w:tr>
    </w:tbl>
    <w:p>
      <w:r>
        <w:t>The split is 70% training (2269), 15% validation (486), 15% test (487). The file src/data.py performs the split.</w:t>
      </w:r>
    </w:p>
    <w:p>
      <w:pPr>
        <w:pStyle w:val="Heading2"/>
      </w:pPr>
      <w:r>
        <w:t>Augmentation</w:t>
      </w:r>
    </w:p>
    <w:p>
      <w:r>
        <w:t>Augmentation means creating slightly altered copies of training images (flipped, rotated, zoomed, brightness-adjusted) to teach the model to recognise cells regardless of orientation or lighting.</w:t>
      </w:r>
    </w:p>
    <w:p>
      <w:pPr>
        <w:pStyle w:val="Heading1"/>
      </w:pPr>
      <w:r>
        <w:t>3. How a Computer Learns to Recognise Cells</w:t>
      </w:r>
    </w:p>
    <w:p>
      <w:r>
        <w:t>The software uses a neural network — a chain of simple calculations where each link multiplies numbers by adjustable values called weights. Training adjusts those weights so the network gives correct answers more often. Each backbone was trained for 15 epochs (complete passes through the data).</w:t>
      </w:r>
    </w:p>
    <w:p>
      <w:r>
        <w:t>Transfer learning starts with a network pre-trained on ImageNet (14 million everyday photos) and re-trains only the final layers for blood cells, saving time and improving accuracy.</w:t>
      </w:r>
    </w:p>
    <w:p>
      <w:pPr>
        <w:pStyle w:val="Heading1"/>
      </w:pPr>
      <w:r>
        <w:t>4. The Three Backbones</w:t>
      </w:r>
    </w:p>
    <w:p>
      <w:pPr>
        <w:pStyle w:val="Heading2"/>
      </w:pPr>
      <w:r>
        <w:t>MobileNetV2</w:t>
      </w:r>
    </w:p>
    <w:p>
      <w:r>
        <w:t>Small, fast, designed for mobile phones. ~3.5 million parameters. Test accuracy: 96.92%. Macro-F1: 0.9662.</w:t>
      </w:r>
    </w:p>
    <w:p>
      <w:pPr>
        <w:pStyle w:val="Heading2"/>
      </w:pPr>
      <w:r>
        <w:t>EfficientNetB0</w:t>
      </w:r>
    </w:p>
    <w:p>
      <w:r>
        <w:t>Balances depth, width and resolution efficiently. ~5.3 million parameters. Test accuracy: 91.38%. Macro-F1: 0.9114.</w:t>
      </w:r>
    </w:p>
    <w:p>
      <w:pPr>
        <w:pStyle w:val="Heading2"/>
      </w:pPr>
      <w:r>
        <w:t>DenseNet121</w:t>
      </w:r>
    </w:p>
    <w:p>
      <w:r>
        <w:t>Dense connections let information flow freely between layers. ~8 million parameters. Test accuracy: 98.97%. Macro-F1: 0.9890.</w:t>
      </w:r>
    </w:p>
    <w:p>
      <w:pPr>
        <w:pStyle w:val="Heading2"/>
      </w:pPr>
      <w:r>
        <w:t>Two-Phase Fine-Tuning</w:t>
      </w:r>
    </w:p>
    <w:p>
      <w:pPr>
        <w:pStyle w:val="ListBullet"/>
      </w:pPr>
      <w:r>
        <w:t>Phase 1 (5 epochs): Frozen base, only the classification head learns. Learning rate: 0.001.</w:t>
      </w:r>
    </w:p>
    <w:p>
      <w:pPr>
        <w:pStyle w:val="ListBullet"/>
      </w:pPr>
      <w:r>
        <w:t>Phase 2 (10 epochs): Top 30% of layers unfrozen. Learning rate: 0.00001.</w:t>
      </w:r>
    </w:p>
    <w:p>
      <w:pPr>
        <w:pStyle w:val="Heading1"/>
      </w:pPr>
      <w:r>
        <w:t>5. The Hybrid Ensemble</w:t>
      </w:r>
    </w:p>
    <w:p>
      <w:r>
        <w:t>An ensemble combines several models like a panel of doctors. The word 'hybrid' means two combination methods are tried.</w:t>
      </w:r>
    </w:p>
    <w:p>
      <w:pPr>
        <w:pStyle w:val="Heading2"/>
      </w:pPr>
      <w:r>
        <w:t>Method 1: Weighted Soft Voting</w:t>
      </w:r>
    </w:p>
    <w:p>
      <w:r>
        <w:t>Weights: MobileNetV2=0.3418, EfficientNetB0=0.3114, DenseNet121=0.3468.</w:t>
      </w:r>
    </w:p>
    <w:p>
      <w:pPr>
        <w:pStyle w:val="Heading2"/>
      </w:pPr>
      <w:r>
        <w:t>Method 2: Stacked Meta-Classifier</w:t>
      </w:r>
    </w:p>
    <w:p>
      <w:r>
        <w:t>A logistic regression learns to combine all twelve output scores from the three models.</w:t>
      </w:r>
    </w:p>
    <w:p>
      <w:r>
        <w:t>Stacking was selected with 98.97% accuracy and 0.9883 macro-F1.</w:t>
      </w:r>
    </w:p>
    <w:p>
      <w:pPr>
        <w:pStyle w:val="Heading1"/>
      </w:pPr>
      <w:r>
        <w:t>6. Grad-CAM: Where the Model Is Looking</w:t>
      </w:r>
    </w:p>
    <w:p>
      <w:r>
        <w:t>Grad-CAM produces a coloured heatmap showing which image regions influenced the prediction. Warm colours = high attention, cool colours = low attention. Computed in src/gradcam.py.</w:t>
      </w:r>
    </w:p>
    <w:p>
      <w:pPr>
        <w:jc w:val="center"/>
      </w:pPr>
      <w:r>
        <w:drawing>
          <wp:inline xmlns:a="http://schemas.openxmlformats.org/drawingml/2006/main" xmlns:pic="http://schemas.openxmlformats.org/drawingml/2006/picture">
            <wp:extent cx="5029200" cy="3052813"/>
            <wp:docPr id="1" name="Picture 1"/>
            <wp:cNvGraphicFramePr>
              <a:graphicFrameLocks noChangeAspect="1"/>
            </wp:cNvGraphicFramePr>
            <a:graphic>
              <a:graphicData uri="http://schemas.openxmlformats.org/drawingml/2006/picture">
                <pic:pic>
                  <pic:nvPicPr>
                    <pic:cNvPr id="0" name="gradcam_examples.png"/>
                    <pic:cNvPicPr/>
                  </pic:nvPicPr>
                  <pic:blipFill>
                    <a:blip r:embed="rId9"/>
                    <a:stretch>
                      <a:fillRect/>
                    </a:stretch>
                  </pic:blipFill>
                  <pic:spPr>
                    <a:xfrm>
                      <a:off x="0" y="0"/>
                      <a:ext cx="5029200" cy="3052813"/>
                    </a:xfrm>
                    <a:prstGeom prst="rect"/>
                  </pic:spPr>
                </pic:pic>
              </a:graphicData>
            </a:graphic>
          </wp:inline>
        </w:drawing>
      </w:r>
    </w:p>
    <w:p>
      <w:pPr>
        <w:jc w:val="center"/>
      </w:pPr>
      <w:r>
        <w:rPr>
          <w:i/>
          <w:sz w:val="18"/>
        </w:rPr>
        <w:t>Figure 1. Grad-CAM examples.</w:t>
      </w:r>
    </w:p>
    <w:p>
      <w:pPr>
        <w:pStyle w:val="Heading1"/>
      </w:pPr>
      <w:r>
        <w:t>7. Results</w:t>
      </w:r>
    </w:p>
    <w:tbl>
      <w:tblPr>
        <w:tblStyle w:val="LightShading-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t>Model</w:t>
            </w:r>
          </w:p>
        </w:tc>
        <w:tc>
          <w:tcPr>
            <w:tcW w:type="dxa" w:w="1440"/>
          </w:tcPr>
          <w:p>
            <w:r>
              <w:t>Accuracy</w:t>
            </w:r>
          </w:p>
        </w:tc>
        <w:tc>
          <w:tcPr>
            <w:tcW w:type="dxa" w:w="1440"/>
          </w:tcPr>
          <w:p>
            <w:r>
              <w:t>Macro-F1</w:t>
            </w:r>
          </w:p>
        </w:tc>
        <w:tc>
          <w:tcPr>
            <w:tcW w:type="dxa" w:w="1440"/>
          </w:tcPr>
          <w:p>
            <w:r>
              <w:t>Weighted-F1</w:t>
            </w:r>
          </w:p>
        </w:tc>
        <w:tc>
          <w:tcPr>
            <w:tcW w:type="dxa" w:w="1440"/>
          </w:tcPr>
          <w:p>
            <w:r>
              <w:t>Kappa</w:t>
            </w:r>
          </w:p>
        </w:tc>
        <w:tc>
          <w:tcPr>
            <w:tcW w:type="dxa" w:w="1440"/>
          </w:tcPr>
          <w:p>
            <w:r>
              <w:t>ROC-AUC</w:t>
            </w:r>
          </w:p>
        </w:tc>
      </w:tr>
      <w:tr>
        <w:tc>
          <w:tcPr>
            <w:tcW w:type="dxa" w:w="1440"/>
          </w:tcPr>
          <w:p>
            <w:r>
              <w:t>MobileNetV2</w:t>
            </w:r>
          </w:p>
        </w:tc>
        <w:tc>
          <w:tcPr>
            <w:tcW w:type="dxa" w:w="1440"/>
          </w:tcPr>
          <w:p>
            <w:r>
              <w:t>96.92%</w:t>
            </w:r>
          </w:p>
        </w:tc>
        <w:tc>
          <w:tcPr>
            <w:tcW w:type="dxa" w:w="1440"/>
          </w:tcPr>
          <w:p>
            <w:r>
              <w:t>0.9662</w:t>
            </w:r>
          </w:p>
        </w:tc>
        <w:tc>
          <w:tcPr>
            <w:tcW w:type="dxa" w:w="1440"/>
          </w:tcPr>
          <w:p>
            <w:r>
              <w:t>0.9695</w:t>
            </w:r>
          </w:p>
        </w:tc>
        <w:tc>
          <w:tcPr>
            <w:tcW w:type="dxa" w:w="1440"/>
          </w:tcPr>
          <w:p>
            <w:r>
              <w:t>0.9583</w:t>
            </w:r>
          </w:p>
        </w:tc>
        <w:tc>
          <w:tcPr>
            <w:tcW w:type="dxa" w:w="1440"/>
          </w:tcPr>
          <w:p>
            <w:r>
              <w:t>0.9981</w:t>
            </w:r>
          </w:p>
        </w:tc>
      </w:tr>
      <w:tr>
        <w:tc>
          <w:tcPr>
            <w:tcW w:type="dxa" w:w="1440"/>
          </w:tcPr>
          <w:p>
            <w:r>
              <w:t>EfficientNetB0</w:t>
            </w:r>
          </w:p>
        </w:tc>
        <w:tc>
          <w:tcPr>
            <w:tcW w:type="dxa" w:w="1440"/>
          </w:tcPr>
          <w:p>
            <w:r>
              <w:t>91.38%</w:t>
            </w:r>
          </w:p>
        </w:tc>
        <w:tc>
          <w:tcPr>
            <w:tcW w:type="dxa" w:w="1440"/>
          </w:tcPr>
          <w:p>
            <w:r>
              <w:t>0.9114</w:t>
            </w:r>
          </w:p>
        </w:tc>
        <w:tc>
          <w:tcPr>
            <w:tcW w:type="dxa" w:w="1440"/>
          </w:tcPr>
          <w:p>
            <w:r>
              <w:t>0.9126</w:t>
            </w:r>
          </w:p>
        </w:tc>
        <w:tc>
          <w:tcPr>
            <w:tcW w:type="dxa" w:w="1440"/>
          </w:tcPr>
          <w:p>
            <w:r>
              <w:t>0.8828</w:t>
            </w:r>
          </w:p>
        </w:tc>
        <w:tc>
          <w:tcPr>
            <w:tcW w:type="dxa" w:w="1440"/>
          </w:tcPr>
          <w:p>
            <w:r>
              <w:t>0.9973</w:t>
            </w:r>
          </w:p>
        </w:tc>
      </w:tr>
      <w:tr>
        <w:tc>
          <w:tcPr>
            <w:tcW w:type="dxa" w:w="1440"/>
          </w:tcPr>
          <w:p>
            <w:r>
              <w:t>DenseNet121</w:t>
            </w:r>
          </w:p>
        </w:tc>
        <w:tc>
          <w:tcPr>
            <w:tcW w:type="dxa" w:w="1440"/>
          </w:tcPr>
          <w:p>
            <w:r>
              <w:t>98.97%</w:t>
            </w:r>
          </w:p>
        </w:tc>
        <w:tc>
          <w:tcPr>
            <w:tcW w:type="dxa" w:w="1440"/>
          </w:tcPr>
          <w:p>
            <w:r>
              <w:t>0.9890</w:t>
            </w:r>
          </w:p>
        </w:tc>
        <w:tc>
          <w:tcPr>
            <w:tcW w:type="dxa" w:w="1440"/>
          </w:tcPr>
          <w:p>
            <w:r>
              <w:t>0.9898</w:t>
            </w:r>
          </w:p>
        </w:tc>
        <w:tc>
          <w:tcPr>
            <w:tcW w:type="dxa" w:w="1440"/>
          </w:tcPr>
          <w:p>
            <w:r>
              <w:t>0.9861</w:t>
            </w:r>
          </w:p>
        </w:tc>
        <w:tc>
          <w:tcPr>
            <w:tcW w:type="dxa" w:w="1440"/>
          </w:tcPr>
          <w:p>
            <w:r>
              <w:t>0.9994</w:t>
            </w:r>
          </w:p>
        </w:tc>
      </w:tr>
      <w:tr>
        <w:tc>
          <w:tcPr>
            <w:tcW w:type="dxa" w:w="1440"/>
          </w:tcPr>
          <w:p>
            <w:r>
              <w:t>Ensemble-Voting</w:t>
            </w:r>
          </w:p>
        </w:tc>
        <w:tc>
          <w:tcPr>
            <w:tcW w:type="dxa" w:w="1440"/>
          </w:tcPr>
          <w:p>
            <w:r>
              <w:t>98.36%</w:t>
            </w:r>
          </w:p>
        </w:tc>
        <w:tc>
          <w:tcPr>
            <w:tcW w:type="dxa" w:w="1440"/>
          </w:tcPr>
          <w:p>
            <w:r>
              <w:t>0.9809</w:t>
            </w:r>
          </w:p>
        </w:tc>
        <w:tc>
          <w:tcPr>
            <w:tcW w:type="dxa" w:w="1440"/>
          </w:tcPr>
          <w:p>
            <w:r>
              <w:t>0.9837</w:t>
            </w:r>
          </w:p>
        </w:tc>
        <w:tc>
          <w:tcPr>
            <w:tcW w:type="dxa" w:w="1440"/>
          </w:tcPr>
          <w:p>
            <w:r>
              <w:t>0.9777</w:t>
            </w:r>
          </w:p>
        </w:tc>
        <w:tc>
          <w:tcPr>
            <w:tcW w:type="dxa" w:w="1440"/>
          </w:tcPr>
          <w:p>
            <w:r>
              <w:t>0.9995</w:t>
            </w:r>
          </w:p>
        </w:tc>
      </w:tr>
      <w:tr>
        <w:tc>
          <w:tcPr>
            <w:tcW w:type="dxa" w:w="1440"/>
          </w:tcPr>
          <w:p>
            <w:r>
              <w:t>Ensemble-Stacking (selected)</w:t>
            </w:r>
          </w:p>
        </w:tc>
        <w:tc>
          <w:tcPr>
            <w:tcW w:type="dxa" w:w="1440"/>
          </w:tcPr>
          <w:p>
            <w:r>
              <w:t>98.97%</w:t>
            </w:r>
          </w:p>
        </w:tc>
        <w:tc>
          <w:tcPr>
            <w:tcW w:type="dxa" w:w="1440"/>
          </w:tcPr>
          <w:p>
            <w:r>
              <w:t>0.9883</w:t>
            </w:r>
          </w:p>
        </w:tc>
        <w:tc>
          <w:tcPr>
            <w:tcW w:type="dxa" w:w="1440"/>
          </w:tcPr>
          <w:p>
            <w:r>
              <w:t>0.9898</w:t>
            </w:r>
          </w:p>
        </w:tc>
        <w:tc>
          <w:tcPr>
            <w:tcW w:type="dxa" w:w="1440"/>
          </w:tcPr>
          <w:p>
            <w:r>
              <w:t>0.9861</w:t>
            </w:r>
          </w:p>
        </w:tc>
        <w:tc>
          <w:tcPr>
            <w:tcW w:type="dxa" w:w="1440"/>
          </w:tcPr>
          <w:p>
            <w:r>
              <w:t>0.9997</w:t>
            </w:r>
          </w:p>
        </w:tc>
      </w:tr>
    </w:tbl>
    <w:p>
      <w:pPr>
        <w:jc w:val="center"/>
      </w:pPr>
      <w:r>
        <w:drawing>
          <wp:inline xmlns:a="http://schemas.openxmlformats.org/drawingml/2006/main" xmlns:pic="http://schemas.openxmlformats.org/drawingml/2006/picture">
            <wp:extent cx="5029200" cy="4547582"/>
            <wp:docPr id="2" name="Picture 2"/>
            <wp:cNvGraphicFramePr>
              <a:graphicFrameLocks noChangeAspect="1"/>
            </wp:cNvGraphicFramePr>
            <a:graphic>
              <a:graphicData uri="http://schemas.openxmlformats.org/drawingml/2006/picture">
                <pic:pic>
                  <pic:nvPicPr>
                    <pic:cNvPr id="0" name="cm_stacking.png"/>
                    <pic:cNvPicPr/>
                  </pic:nvPicPr>
                  <pic:blipFill>
                    <a:blip r:embed="rId10"/>
                    <a:stretch>
                      <a:fillRect/>
                    </a:stretch>
                  </pic:blipFill>
                  <pic:spPr>
                    <a:xfrm>
                      <a:off x="0" y="0"/>
                      <a:ext cx="5029200" cy="4547582"/>
                    </a:xfrm>
                    <a:prstGeom prst="rect"/>
                  </pic:spPr>
                </pic:pic>
              </a:graphicData>
            </a:graphic>
          </wp:inline>
        </w:drawing>
      </w:r>
    </w:p>
    <w:p>
      <w:pPr>
        <w:jc w:val="center"/>
      </w:pPr>
      <w:r>
        <w:rPr>
          <w:i/>
          <w:sz w:val="18"/>
        </w:rPr>
        <w:t>Figure 2. Confusion matrix for Stacking Ensemble.</w:t>
      </w:r>
    </w:p>
    <w:p>
      <w:pPr>
        <w:jc w:val="center"/>
      </w:pPr>
      <w:r>
        <w:drawing>
          <wp:inline xmlns:a="http://schemas.openxmlformats.org/drawingml/2006/main" xmlns:pic="http://schemas.openxmlformats.org/drawingml/2006/picture">
            <wp:extent cx="5029200" cy="4737123"/>
            <wp:docPr id="3" name="Picture 3"/>
            <wp:cNvGraphicFramePr>
              <a:graphicFrameLocks noChangeAspect="1"/>
            </wp:cNvGraphicFramePr>
            <a:graphic>
              <a:graphicData uri="http://schemas.openxmlformats.org/drawingml/2006/picture">
                <pic:pic>
                  <pic:nvPicPr>
                    <pic:cNvPr id="0" name="roc_ensemble.png"/>
                    <pic:cNvPicPr/>
                  </pic:nvPicPr>
                  <pic:blipFill>
                    <a:blip r:embed="rId11"/>
                    <a:stretch>
                      <a:fillRect/>
                    </a:stretch>
                  </pic:blipFill>
                  <pic:spPr>
                    <a:xfrm>
                      <a:off x="0" y="0"/>
                      <a:ext cx="5029200" cy="4737123"/>
                    </a:xfrm>
                    <a:prstGeom prst="rect"/>
                  </pic:spPr>
                </pic:pic>
              </a:graphicData>
            </a:graphic>
          </wp:inline>
        </w:drawing>
      </w:r>
    </w:p>
    <w:p>
      <w:pPr>
        <w:jc w:val="center"/>
      </w:pPr>
      <w:r>
        <w:rPr>
          <w:i/>
          <w:sz w:val="18"/>
        </w:rPr>
        <w:t>Figure 3. ROC curves.</w:t>
      </w:r>
    </w:p>
    <w:p>
      <w:pPr>
        <w:pStyle w:val="Heading2"/>
      </w:pPr>
      <w:r>
        <w:t>How Sure Is It? (Uncertainty)</w:t>
      </w:r>
    </w:p>
    <w:p>
      <w:r>
        <w:t>An accuracy figure describes the system across hundreds of images; it does not say whether to trust one particular answer. So each image is run 30 times with a different random slice of the network switched off each time. If the runs agree the answer is stable; if they scatter, the model is guessing, and the system says so rather than hiding it behind one number.</w:t>
      </w:r>
    </w:p>
    <w:p>
      <w:r>
        <w:t>That scatter becomes two numbers. Entropy measures how spread out the averaged answer is (0 = identical every time, 1 = no information). Mutual information isolates the part caused by the runs disagreeing with each other, as opposed to two cell types genuinely looking alike. Each prediction is then labelled HIGH confidence (accept), MEDIUM (review recommended) or LOW (refer to a specialist). The cut-points were set on the validation images only, never on the test images used to report accuracy.</w:t>
      </w:r>
    </w:p>
    <w:tbl>
      <w:tblPr>
        <w:tblStyle w:val="LightShading-Accent1"/>
        <w:tblW w:type="auto" w:w="0"/>
        <w:tblLook w:firstColumn="1" w:firstRow="1" w:lastColumn="0" w:lastRow="0" w:noHBand="0" w:noVBand="1" w:val="04A0"/>
      </w:tblPr>
      <w:tblGrid>
        <w:gridCol w:w="4320"/>
        <w:gridCol w:w="4320"/>
      </w:tblGrid>
      <w:tr>
        <w:tc>
          <w:tcPr>
            <w:tcW w:type="dxa" w:w="4320"/>
          </w:tcPr>
          <w:p>
            <w:r>
              <w:t>What was measured</w:t>
            </w:r>
          </w:p>
        </w:tc>
        <w:tc>
          <w:tcPr>
            <w:tcW w:type="dxa" w:w="4320"/>
          </w:tcPr>
          <w:p>
            <w:r>
              <w:t>Result</w:t>
            </w:r>
          </w:p>
        </w:tc>
      </w:tr>
      <w:tr>
        <w:tc>
          <w:tcPr>
            <w:tcW w:type="dxa" w:w="4320"/>
          </w:tcPr>
          <w:p>
            <w:r>
              <w:t>Images run through 30 passes</w:t>
            </w:r>
          </w:p>
        </w:tc>
        <w:tc>
          <w:tcPr>
            <w:tcW w:type="dxa" w:w="4320"/>
          </w:tcPr>
          <w:p>
            <w:r>
              <w:t>487</w:t>
            </w:r>
          </w:p>
        </w:tc>
      </w:tr>
      <w:tr>
        <w:tc>
          <w:tcPr>
            <w:tcW w:type="dxa" w:w="4320"/>
          </w:tcPr>
          <w:p>
            <w:r>
              <w:t>Average entropy when right</w:t>
            </w:r>
          </w:p>
        </w:tc>
        <w:tc>
          <w:tcPr>
            <w:tcW w:type="dxa" w:w="4320"/>
          </w:tcPr>
          <w:p>
            <w:r>
              <w:t>0.084</w:t>
            </w:r>
          </w:p>
        </w:tc>
      </w:tr>
      <w:tr>
        <w:tc>
          <w:tcPr>
            <w:tcW w:type="dxa" w:w="4320"/>
          </w:tcPr>
          <w:p>
            <w:r>
              <w:t>Average entropy when wrong</w:t>
            </w:r>
          </w:p>
        </w:tc>
        <w:tc>
          <w:tcPr>
            <w:tcW w:type="dxa" w:w="4320"/>
          </w:tcPr>
          <w:p>
            <w:r>
              <w:t>0.467</w:t>
            </w:r>
          </w:p>
        </w:tc>
      </w:tr>
      <w:tr>
        <w:tc>
          <w:tcPr>
            <w:tcW w:type="dxa" w:w="4320"/>
          </w:tcPr>
          <w:p>
            <w:r>
              <w:t>Mistakes flagged for review</w:t>
            </w:r>
          </w:p>
        </w:tc>
        <w:tc>
          <w:tcPr>
            <w:tcW w:type="dxa" w:w="4320"/>
          </w:tcPr>
          <w:p>
            <w:r>
              <w:t>83% (5 of 6)</w:t>
            </w:r>
          </w:p>
        </w:tc>
      </w:tr>
      <w:tr>
        <w:tc>
          <w:tcPr>
            <w:tcW w:type="dxa" w:w="4320"/>
          </w:tcPr>
          <w:p>
            <w:r>
              <w:t>Correct answers also flagged (the cost)</w:t>
            </w:r>
          </w:p>
        </w:tc>
        <w:tc>
          <w:tcPr>
            <w:tcW w:type="dxa" w:w="4320"/>
          </w:tcPr>
          <w:p>
            <w:r>
              <w:t>5.6% (27 of 481)</w:t>
            </w:r>
          </w:p>
        </w:tc>
      </w:tr>
      <w:tr>
        <w:tc>
          <w:tcPr>
            <w:tcW w:type="dxa" w:w="4320"/>
          </w:tcPr>
          <w:p>
            <w:r>
              <w:t>Flags: HIGH / MEDIUM / LOW</w:t>
            </w:r>
          </w:p>
        </w:tc>
        <w:tc>
          <w:tcPr>
            <w:tcW w:type="dxa" w:w="4320"/>
          </w:tcPr>
          <w:p>
            <w:r>
              <w:t>455 / 24 / 8</w:t>
            </w:r>
          </w:p>
        </w:tc>
      </w:tr>
    </w:tbl>
    <w:p>
      <w:r>
        <w:t>Read with care: the test set held only 6 mistakes, so the 83% figure rests on 6 cases. The direction is consistent, but the exact percentage would move on a larger sample.</w:t>
      </w:r>
    </w:p>
    <w:p>
      <w:pPr>
        <w:jc w:val="center"/>
      </w:pPr>
      <w:r>
        <w:drawing>
          <wp:inline xmlns:a="http://schemas.openxmlformats.org/drawingml/2006/main" xmlns:pic="http://schemas.openxmlformats.org/drawingml/2006/picture">
            <wp:extent cx="5029200" cy="3203485"/>
            <wp:docPr id="4" name="Picture 4"/>
            <wp:cNvGraphicFramePr>
              <a:graphicFrameLocks noChangeAspect="1"/>
            </wp:cNvGraphicFramePr>
            <a:graphic>
              <a:graphicData uri="http://schemas.openxmlformats.org/drawingml/2006/picture">
                <pic:pic>
                  <pic:nvPicPr>
                    <pic:cNvPr id="0" name="uncertainty_hist.png"/>
                    <pic:cNvPicPr/>
                  </pic:nvPicPr>
                  <pic:blipFill>
                    <a:blip r:embed="rId12"/>
                    <a:stretch>
                      <a:fillRect/>
                    </a:stretch>
                  </pic:blipFill>
                  <pic:spPr>
                    <a:xfrm>
                      <a:off x="0" y="0"/>
                      <a:ext cx="5029200" cy="3203485"/>
                    </a:xfrm>
                    <a:prstGeom prst="rect"/>
                  </pic:spPr>
                </pic:pic>
              </a:graphicData>
            </a:graphic>
          </wp:inline>
        </w:drawing>
      </w:r>
    </w:p>
    <w:p>
      <w:pPr>
        <w:jc w:val="center"/>
      </w:pPr>
      <w:r>
        <w:rPr>
          <w:i/>
          <w:sz w:val="18"/>
        </w:rPr>
        <w:t>Figure 3b. Entropy of correct answers against mistakes, with the two thresholds.</w:t>
      </w:r>
    </w:p>
    <w:p>
      <w:pPr>
        <w:jc w:val="center"/>
      </w:pPr>
      <w:r>
        <w:drawing>
          <wp:inline xmlns:a="http://schemas.openxmlformats.org/drawingml/2006/main" xmlns:pic="http://schemas.openxmlformats.org/drawingml/2006/picture">
            <wp:extent cx="5029200" cy="4626163"/>
            <wp:docPr id="5" name="Picture 5"/>
            <wp:cNvGraphicFramePr>
              <a:graphicFrameLocks noChangeAspect="1"/>
            </wp:cNvGraphicFramePr>
            <a:graphic>
              <a:graphicData uri="http://schemas.openxmlformats.org/drawingml/2006/picture">
                <pic:pic>
                  <pic:nvPicPr>
                    <pic:cNvPr id="0" name="uncertainty_reliability.png"/>
                    <pic:cNvPicPr/>
                  </pic:nvPicPr>
                  <pic:blipFill>
                    <a:blip r:embed="rId13"/>
                    <a:stretch>
                      <a:fillRect/>
                    </a:stretch>
                  </pic:blipFill>
                  <pic:spPr>
                    <a:xfrm>
                      <a:off x="0" y="0"/>
                      <a:ext cx="5029200" cy="4626163"/>
                    </a:xfrm>
                    <a:prstGeom prst="rect"/>
                  </pic:spPr>
                </pic:pic>
              </a:graphicData>
            </a:graphic>
          </wp:inline>
        </w:drawing>
      </w:r>
    </w:p>
    <w:p>
      <w:pPr>
        <w:jc w:val="center"/>
      </w:pPr>
      <w:r>
        <w:rPr>
          <w:i/>
          <w:sz w:val="18"/>
        </w:rPr>
        <w:t>Figure 3c. Stated confidence against actual accuracy.</w:t>
      </w:r>
    </w:p>
    <w:p>
      <w:pPr>
        <w:jc w:val="center"/>
      </w:pPr>
      <w:r>
        <w:drawing>
          <wp:inline xmlns:a="http://schemas.openxmlformats.org/drawingml/2006/main" xmlns:pic="http://schemas.openxmlformats.org/drawingml/2006/picture">
            <wp:extent cx="5029200" cy="2475484"/>
            <wp:docPr id="6" name="Picture 6"/>
            <wp:cNvGraphicFramePr>
              <a:graphicFrameLocks noChangeAspect="1"/>
            </wp:cNvGraphicFramePr>
            <a:graphic>
              <a:graphicData uri="http://schemas.openxmlformats.org/drawingml/2006/picture">
                <pic:pic>
                  <pic:nvPicPr>
                    <pic:cNvPr id="0" name="training_curves_densenet121.png"/>
                    <pic:cNvPicPr/>
                  </pic:nvPicPr>
                  <pic:blipFill>
                    <a:blip r:embed="rId14"/>
                    <a:stretch>
                      <a:fillRect/>
                    </a:stretch>
                  </pic:blipFill>
                  <pic:spPr>
                    <a:xfrm>
                      <a:off x="0" y="0"/>
                      <a:ext cx="5029200" cy="2475484"/>
                    </a:xfrm>
                    <a:prstGeom prst="rect"/>
                  </pic:spPr>
                </pic:pic>
              </a:graphicData>
            </a:graphic>
          </wp:inline>
        </w:drawing>
      </w:r>
    </w:p>
    <w:p>
      <w:pPr>
        <w:jc w:val="center"/>
      </w:pPr>
      <w:r>
        <w:rPr>
          <w:i/>
          <w:sz w:val="18"/>
        </w:rPr>
        <w:t>Figure 4. Training curves for DenseNet121.</w:t>
      </w:r>
    </w:p>
    <w:p>
      <w:pPr>
        <w:jc w:val="center"/>
      </w:pPr>
      <w:r>
        <w:drawing>
          <wp:inline xmlns:a="http://schemas.openxmlformats.org/drawingml/2006/main" xmlns:pic="http://schemas.openxmlformats.org/drawingml/2006/picture">
            <wp:extent cx="5029200" cy="3126091"/>
            <wp:docPr id="7" name="Picture 7"/>
            <wp:cNvGraphicFramePr>
              <a:graphicFrameLocks noChangeAspect="1"/>
            </wp:cNvGraphicFramePr>
            <a:graphic>
              <a:graphicData uri="http://schemas.openxmlformats.org/drawingml/2006/picture">
                <pic:pic>
                  <pic:nvPicPr>
                    <pic:cNvPr id="0" name="model_comparison_bar.png"/>
                    <pic:cNvPicPr/>
                  </pic:nvPicPr>
                  <pic:blipFill>
                    <a:blip r:embed="rId15"/>
                    <a:stretch>
                      <a:fillRect/>
                    </a:stretch>
                  </pic:blipFill>
                  <pic:spPr>
                    <a:xfrm>
                      <a:off x="0" y="0"/>
                      <a:ext cx="5029200" cy="3126091"/>
                    </a:xfrm>
                    <a:prstGeom prst="rect"/>
                  </pic:spPr>
                </pic:pic>
              </a:graphicData>
            </a:graphic>
          </wp:inline>
        </w:drawing>
      </w:r>
    </w:p>
    <w:p>
      <w:pPr>
        <w:jc w:val="center"/>
      </w:pPr>
      <w:r>
        <w:rPr>
          <w:i/>
          <w:sz w:val="18"/>
        </w:rPr>
        <w:t>Figure 5. Accuracy comparison.</w:t>
      </w:r>
    </w:p>
    <w:p>
      <w:pPr>
        <w:pStyle w:val="Heading1"/>
      </w:pPr>
      <w:r>
        <w:t>8. The Web Application</w:t>
      </w:r>
    </w:p>
    <w:p>
      <w:pPr>
        <w:pStyle w:val="Heading2"/>
      </w:pPr>
      <w:r>
        <w:t>Login / Home</w:t>
      </w:r>
    </w:p>
    <w:p>
      <w:r>
        <w:t>Login with admin/admin. Home shows pipeline status and navigation.</w:t>
      </w:r>
    </w:p>
    <w:p>
      <w:pPr>
        <w:jc w:val="center"/>
      </w:pPr>
      <w:r>
        <w:drawing>
          <wp:inline xmlns:a="http://schemas.openxmlformats.org/drawingml/2006/main" xmlns:pic="http://schemas.openxmlformats.org/drawingml/2006/picture">
            <wp:extent cx="5029200" cy="4079240"/>
            <wp:docPr id="8" name="Picture 8"/>
            <wp:cNvGraphicFramePr>
              <a:graphicFrameLocks noChangeAspect="1"/>
            </wp:cNvGraphicFramePr>
            <a:graphic>
              <a:graphicData uri="http://schemas.openxmlformats.org/drawingml/2006/picture">
                <pic:pic>
                  <pic:nvPicPr>
                    <pic:cNvPr id="0" name="overview.png"/>
                    <pic:cNvPicPr/>
                  </pic:nvPicPr>
                  <pic:blipFill>
                    <a:blip r:embed="rId16"/>
                    <a:stretch>
                      <a:fillRect/>
                    </a:stretch>
                  </pic:blipFill>
                  <pic:spPr>
                    <a:xfrm>
                      <a:off x="0" y="0"/>
                      <a:ext cx="5029200" cy="4079240"/>
                    </a:xfrm>
                    <a:prstGeom prst="rect"/>
                  </pic:spPr>
                </pic:pic>
              </a:graphicData>
            </a:graphic>
          </wp:inline>
        </w:drawing>
      </w:r>
    </w:p>
    <w:p>
      <w:pPr>
        <w:jc w:val="center"/>
      </w:pPr>
      <w:r>
        <w:rPr>
          <w:i/>
          <w:sz w:val="18"/>
        </w:rPr>
        <w:t>Screenshot: Login / Home.</w:t>
      </w:r>
    </w:p>
    <w:p>
      <w:pPr>
        <w:pStyle w:val="Heading2"/>
      </w:pPr>
      <w:r>
        <w:t>Data</w:t>
      </w:r>
    </w:p>
    <w:p>
      <w:r>
        <w:t>Download dataset or generate demo data, create splits, view class counts.</w:t>
      </w:r>
    </w:p>
    <w:p>
      <w:pPr>
        <w:jc w:val="center"/>
      </w:pPr>
      <w:r>
        <w:drawing>
          <wp:inline xmlns:a="http://schemas.openxmlformats.org/drawingml/2006/main" xmlns:pic="http://schemas.openxmlformats.org/drawingml/2006/picture">
            <wp:extent cx="5029200" cy="6255068"/>
            <wp:docPr id="9" name="Picture 9"/>
            <wp:cNvGraphicFramePr>
              <a:graphicFrameLocks noChangeAspect="1"/>
            </wp:cNvGraphicFramePr>
            <a:graphic>
              <a:graphicData uri="http://schemas.openxmlformats.org/drawingml/2006/picture">
                <pic:pic>
                  <pic:nvPicPr>
                    <pic:cNvPr id="0" name="data.png"/>
                    <pic:cNvPicPr/>
                  </pic:nvPicPr>
                  <pic:blipFill>
                    <a:blip r:embed="rId17"/>
                    <a:stretch>
                      <a:fillRect/>
                    </a:stretch>
                  </pic:blipFill>
                  <pic:spPr>
                    <a:xfrm>
                      <a:off x="0" y="0"/>
                      <a:ext cx="5029200" cy="6255068"/>
                    </a:xfrm>
                    <a:prstGeom prst="rect"/>
                  </pic:spPr>
                </pic:pic>
              </a:graphicData>
            </a:graphic>
          </wp:inline>
        </w:drawing>
      </w:r>
    </w:p>
    <w:p>
      <w:pPr>
        <w:jc w:val="center"/>
      </w:pPr>
      <w:r>
        <w:rPr>
          <w:i/>
          <w:sz w:val="18"/>
        </w:rPr>
        <w:t>Screenshot: Data.</w:t>
      </w:r>
    </w:p>
    <w:p>
      <w:pPr>
        <w:pStyle w:val="Heading2"/>
      </w:pPr>
      <w:r>
        <w:t>Train</w:t>
      </w:r>
    </w:p>
    <w:p>
      <w:r>
        <w:t>Start training with live progress bars and charts.</w:t>
      </w:r>
    </w:p>
    <w:p>
      <w:pPr>
        <w:jc w:val="center"/>
      </w:pPr>
      <w:r>
        <w:drawing>
          <wp:inline xmlns:a="http://schemas.openxmlformats.org/drawingml/2006/main" xmlns:pic="http://schemas.openxmlformats.org/drawingml/2006/picture">
            <wp:extent cx="5029200" cy="3646170"/>
            <wp:docPr id="10" name="Picture 10"/>
            <wp:cNvGraphicFramePr>
              <a:graphicFrameLocks noChangeAspect="1"/>
            </wp:cNvGraphicFramePr>
            <a:graphic>
              <a:graphicData uri="http://schemas.openxmlformats.org/drawingml/2006/picture">
                <pic:pic>
                  <pic:nvPicPr>
                    <pic:cNvPr id="0" name="train.png"/>
                    <pic:cNvPicPr/>
                  </pic:nvPicPr>
                  <pic:blipFill>
                    <a:blip r:embed="rId18"/>
                    <a:stretch>
                      <a:fillRect/>
                    </a:stretch>
                  </pic:blipFill>
                  <pic:spPr>
                    <a:xfrm>
                      <a:off x="0" y="0"/>
                      <a:ext cx="5029200" cy="3646170"/>
                    </a:xfrm>
                    <a:prstGeom prst="rect"/>
                  </pic:spPr>
                </pic:pic>
              </a:graphicData>
            </a:graphic>
          </wp:inline>
        </w:drawing>
      </w:r>
    </w:p>
    <w:p>
      <w:pPr>
        <w:jc w:val="center"/>
      </w:pPr>
      <w:r>
        <w:rPr>
          <w:i/>
          <w:sz w:val="18"/>
        </w:rPr>
        <w:t>Screenshot: Train.</w:t>
      </w:r>
    </w:p>
    <w:p>
      <w:pPr>
        <w:pStyle w:val="Heading2"/>
      </w:pPr>
      <w:r>
        <w:t>Evaluate</w:t>
      </w:r>
    </w:p>
    <w:p>
      <w:r>
        <w:t>Fit ensemble, run evaluation, display all metrics and charts.</w:t>
      </w:r>
    </w:p>
    <w:p>
      <w:pPr>
        <w:jc w:val="center"/>
      </w:pPr>
      <w:r>
        <w:drawing>
          <wp:inline xmlns:a="http://schemas.openxmlformats.org/drawingml/2006/main" xmlns:pic="http://schemas.openxmlformats.org/drawingml/2006/picture">
            <wp:extent cx="5029200" cy="11312208"/>
            <wp:docPr id="11" name="Picture 11"/>
            <wp:cNvGraphicFramePr>
              <a:graphicFrameLocks noChangeAspect="1"/>
            </wp:cNvGraphicFramePr>
            <a:graphic>
              <a:graphicData uri="http://schemas.openxmlformats.org/drawingml/2006/picture">
                <pic:pic>
                  <pic:nvPicPr>
                    <pic:cNvPr id="0" name="evaluate.png"/>
                    <pic:cNvPicPr/>
                  </pic:nvPicPr>
                  <pic:blipFill>
                    <a:blip r:embed="rId19"/>
                    <a:stretch>
                      <a:fillRect/>
                    </a:stretch>
                  </pic:blipFill>
                  <pic:spPr>
                    <a:xfrm>
                      <a:off x="0" y="0"/>
                      <a:ext cx="5029200" cy="11312208"/>
                    </a:xfrm>
                    <a:prstGeom prst="rect"/>
                  </pic:spPr>
                </pic:pic>
              </a:graphicData>
            </a:graphic>
          </wp:inline>
        </w:drawing>
      </w:r>
    </w:p>
    <w:p>
      <w:pPr>
        <w:jc w:val="center"/>
      </w:pPr>
      <w:r>
        <w:rPr>
          <w:i/>
          <w:sz w:val="18"/>
        </w:rPr>
        <w:t>Screenshot: Evaluate.</w:t>
      </w:r>
    </w:p>
    <w:p>
      <w:pPr>
        <w:pStyle w:val="Heading2"/>
      </w:pPr>
      <w:r>
        <w:t>Predict</w:t>
      </w:r>
    </w:p>
    <w:p>
      <w:r>
        <w:t>Upload a blood smear image to get prediction, confidence and Grad-CAM heatmap.</w:t>
      </w:r>
    </w:p>
    <w:p>
      <w:pPr>
        <w:jc w:val="center"/>
      </w:pPr>
      <w:r>
        <w:drawing>
          <wp:inline xmlns:a="http://schemas.openxmlformats.org/drawingml/2006/main" xmlns:pic="http://schemas.openxmlformats.org/drawingml/2006/picture">
            <wp:extent cx="5029200" cy="4477385"/>
            <wp:docPr id="12" name="Picture 12"/>
            <wp:cNvGraphicFramePr>
              <a:graphicFrameLocks noChangeAspect="1"/>
            </wp:cNvGraphicFramePr>
            <a:graphic>
              <a:graphicData uri="http://schemas.openxmlformats.org/drawingml/2006/picture">
                <pic:pic>
                  <pic:nvPicPr>
                    <pic:cNvPr id="0" name="predict.png"/>
                    <pic:cNvPicPr/>
                  </pic:nvPicPr>
                  <pic:blipFill>
                    <a:blip r:embed="rId20"/>
                    <a:stretch>
                      <a:fillRect/>
                    </a:stretch>
                  </pic:blipFill>
                  <pic:spPr>
                    <a:xfrm>
                      <a:off x="0" y="0"/>
                      <a:ext cx="5029200" cy="4477385"/>
                    </a:xfrm>
                    <a:prstGeom prst="rect"/>
                  </pic:spPr>
                </pic:pic>
              </a:graphicData>
            </a:graphic>
          </wp:inline>
        </w:drawing>
      </w:r>
    </w:p>
    <w:p>
      <w:pPr>
        <w:jc w:val="center"/>
      </w:pPr>
      <w:r>
        <w:rPr>
          <w:i/>
          <w:sz w:val="18"/>
        </w:rPr>
        <w:t>Screenshot: Predict.</w:t>
      </w:r>
    </w:p>
    <w:p>
      <w:pPr>
        <w:pStyle w:val="Heading2"/>
      </w:pPr>
      <w:r>
        <w:t>About</w:t>
      </w:r>
    </w:p>
    <w:p>
      <w:r>
        <w:t>Project description, method, references, disclaimer.</w:t>
      </w:r>
    </w:p>
    <w:p>
      <w:pPr>
        <w:jc w:val="center"/>
      </w:pPr>
      <w:r>
        <w:drawing>
          <wp:inline xmlns:a="http://schemas.openxmlformats.org/drawingml/2006/main" xmlns:pic="http://schemas.openxmlformats.org/drawingml/2006/picture">
            <wp:extent cx="5029200" cy="8322628"/>
            <wp:docPr id="13" name="Picture 13"/>
            <wp:cNvGraphicFramePr>
              <a:graphicFrameLocks noChangeAspect="1"/>
            </wp:cNvGraphicFramePr>
            <a:graphic>
              <a:graphicData uri="http://schemas.openxmlformats.org/drawingml/2006/picture">
                <pic:pic>
                  <pic:nvPicPr>
                    <pic:cNvPr id="0" name="about.png"/>
                    <pic:cNvPicPr/>
                  </pic:nvPicPr>
                  <pic:blipFill>
                    <a:blip r:embed="rId21"/>
                    <a:stretch>
                      <a:fillRect/>
                    </a:stretch>
                  </pic:blipFill>
                  <pic:spPr>
                    <a:xfrm>
                      <a:off x="0" y="0"/>
                      <a:ext cx="5029200" cy="8322628"/>
                    </a:xfrm>
                    <a:prstGeom prst="rect"/>
                  </pic:spPr>
                </pic:pic>
              </a:graphicData>
            </a:graphic>
          </wp:inline>
        </w:drawing>
      </w:r>
    </w:p>
    <w:p>
      <w:pPr>
        <w:jc w:val="center"/>
      </w:pPr>
      <w:r>
        <w:rPr>
          <w:i/>
          <w:sz w:val="18"/>
        </w:rPr>
        <w:t>Screenshot: About.</w:t>
      </w:r>
    </w:p>
    <w:p>
      <w:pPr>
        <w:pStyle w:val="Heading1"/>
      </w:pPr>
      <w:r>
        <w:t>9. Where Everything Is</w:t>
      </w:r>
    </w:p>
    <w:p>
      <w:r>
        <w:t>See the PDF version for the complete file map table.</w:t>
      </w:r>
    </w:p>
    <w:p>
      <w:pPr>
        <w:pStyle w:val="Heading1"/>
      </w:pPr>
      <w:r>
        <w:t>10. How It Was Built</w:t>
      </w:r>
    </w:p>
    <w:p>
      <w:r>
        <w:t>Python 3.12, TensorFlow 2.21.0, Keras 3.14.0, scikit-learn 1.7.2, FastAPI 0.136.3, Chart.js 4.4.1.</w:t>
      </w:r>
    </w:p>
    <w:p>
      <w:r>
        <w:t>14 test files covering data, models, training, ensemble, prediction, Grad-CAM, API, frontend and static assets.</w:t>
      </w:r>
    </w:p>
    <w:p>
      <w:pPr>
        <w:pStyle w:val="Heading2"/>
      </w:pPr>
      <w:r>
        <w:t>How to Retrain</w:t>
      </w:r>
    </w:p>
    <w:p>
      <w:pPr>
        <w:pStyle w:val="ListBullet"/>
      </w:pPr>
      <w:r>
        <w:t>python run.py --cli download  (download dataset)</w:t>
      </w:r>
    </w:p>
    <w:p>
      <w:pPr>
        <w:pStyle w:val="ListBullet"/>
      </w:pPr>
      <w:r>
        <w:t>python run.py --cli splits  (create splits)</w:t>
      </w:r>
    </w:p>
    <w:p>
      <w:pPr>
        <w:pStyle w:val="ListBullet"/>
      </w:pPr>
      <w:r>
        <w:t>python run.py --cli train  (train backbones)</w:t>
      </w:r>
    </w:p>
    <w:p>
      <w:pPr>
        <w:pStyle w:val="ListBullet"/>
      </w:pPr>
      <w:r>
        <w:t>python run.py --cli ensemble  (fit ensemble)</w:t>
      </w:r>
    </w:p>
    <w:p>
      <w:pPr>
        <w:pStyle w:val="ListBullet"/>
      </w:pPr>
      <w:r>
        <w:t>python run.py --cli evaluate  (evaluate and generate figures)</w:t>
      </w:r>
    </w:p>
    <w:p>
      <w:pPr>
        <w:pStyle w:val="Heading1"/>
      </w:pPr>
      <w:r>
        <w:t>11. Installation</w:t>
      </w:r>
    </w:p>
    <w:p>
      <w:r>
        <w:t>The simplest way to run this tool needs no commands. The one-page START_HERE.txt in the main folder covers it; this chapter repeats it. No graphics card and no Kaggle account are needed - the trained models are already included.</w:t>
      </w:r>
    </w:p>
    <w:p>
      <w:r>
        <w:t>What you need: a Windows or Mac laptop; internet for the first run; about 4 GB of free memory and 2 GB of free disk space.</w:t>
      </w:r>
    </w:p>
    <w:p>
      <w:r>
        <w:t>Setup (first time only): (1) Install Python 3.12 from python.org - on Windows tick "Add Python to PATH" on the first screen. (2) Unzip the folder anywhere. (3) On Windows double-click setup.bat; on a Mac run ./setup.sh. This installs everything and starts the app (about 10-15 minutes the first time, mostly downloading). (4) Your browser opens at http://localhost:8000; log in with admin / admin.</w:t>
      </w:r>
    </w:p>
    <w:p>
      <w:r>
        <w:t>Every time after that, double-click run.bat (Windows) or run ./run.sh (Mac). Setup only needs doing once.</w:t>
      </w:r>
    </w:p>
    <w:p>
      <w:r>
        <w:t>Troubleshooting: if python "is not recognised" on Windows, reinstall Python and tick "Add Python to PATH". If port 8000 is in use, run python app.py --port 8001 and open http://localhost:8001.</w:t>
      </w:r>
    </w:p>
    <w:p>
      <w:r>
        <w:t>From a command line instead, the setup script simply runs: git clone, pip install -r requirements.txt, python run.py --fetch-models, python app.py. The models ship inside the folder as dist/models.zip.part00 and part01; --fetch-models joins and verifies them offline. The Preview page is pre-stocked with the 40 bundled demo images, so predictions work immediately.</w:t>
      </w:r>
    </w:p>
    <w:p>
      <w:r>
        <w:t>Tier 2 — Full test set (optional, ~6 GB): add a Kaggle API token on the Data page or in ~/.kaggle, press Download, then run python run.py --cli export-test-images.</w:t>
      </w:r>
    </w:p>
    <w:p>
      <w:r>
        <w:t>Tier 3 — Retrain (optional, needs Tier 2): notebooks/train_colab.ipynb on a free Colab GPU (~40 min) or python run.py --cli all on CPU (~1.5 h); copy models/ back, then python run.py --cli evaluate.</w:t>
      </w:r>
    </w:p>
    <w:p>
      <w:r>
        <w:t>What is where — models/: the trained networks, unpacked from the bundled dist/models.zip.part00/01. data/demo_images: 40 real held-out test images (10 per class, CC BY 4.0, Aria et al.) that drive the Tier 1 demo. data/sample: 8 synthetic images for the automated tests only. results/: metrics and figures. docs/: the finished deliverables. docs/src: the sources they are generated from.</w:t>
      </w:r>
    </w:p>
    <w:p>
      <w:r>
        <w:t>See the PDF for the full command listing and troubleshooting.</w:t>
      </w:r>
    </w:p>
    <w:p>
      <w:pPr>
        <w:pStyle w:val="Heading1"/>
      </w:pPr>
      <w:r>
        <w:t>12. Using the App — Step-by-Step Demo</w:t>
      </w:r>
    </w:p>
    <w:p>
      <w:r>
        <w:t>No preparation needed — after Tier 1 the Preview page already lists the 40 bundled demo images. (If you completed Tier 2, run python run.py --cli export-test-images to demo on the full held-out set instead.) Then:</w:t>
      </w:r>
    </w:p>
    <w:p>
      <w:pPr>
        <w:pStyle w:val="ListBullet"/>
      </w:pPr>
      <w:r>
        <w:t>Step 1: Start the app with python app.py (opens http://localhost:8000).</w:t>
      </w:r>
    </w:p>
    <w:p>
      <w:pPr>
        <w:pStyle w:val="ListBullet"/>
      </w:pPr>
      <w:r>
        <w:t>Step 2: Log in with admin / admin.</w:t>
      </w:r>
    </w:p>
    <w:p>
      <w:pPr>
        <w:pStyle w:val="ListBullet"/>
      </w:pPr>
      <w:r>
        <w:t>Step 3: Home shows the pipeline status and paper citation.</w:t>
      </w:r>
    </w:p>
    <w:p>
      <w:pPr>
        <w:pStyle w:val="ListBullet"/>
      </w:pPr>
      <w:r>
        <w:t>Step 4: Preview — pick a test image per class, press Submit, see prediction and Grad-CAM.</w:t>
      </w:r>
    </w:p>
    <w:p>
      <w:pPr>
        <w:pStyle w:val="ListBullet"/>
      </w:pPr>
      <w:r>
        <w:t>Step 5: Performance Analysis — accuracy tiles, confusion matrix, ROC curves.</w:t>
      </w:r>
    </w:p>
    <w:p>
      <w:pPr>
        <w:pStyle w:val="ListBullet"/>
      </w:pPr>
      <w:r>
        <w:t>Step 6: Chart — training loss and accuracy curves per backbone.</w:t>
      </w:r>
    </w:p>
    <w:p>
      <w:pPr>
        <w:pStyle w:val="ListBullet"/>
      </w:pPr>
      <w:r>
        <w:t>Step 7: About — architecture diagram and disclaimer.</w:t>
      </w:r>
    </w:p>
    <w:p>
      <w:pPr>
        <w:pStyle w:val="ListBullet"/>
      </w:pPr>
      <w:r>
        <w:t>Step 8: Logout returns to the login screen.</w:t>
      </w:r>
    </w:p>
    <w:p>
      <w:pPr>
        <w:pStyle w:val="Heading1"/>
      </w:pPr>
      <w:r>
        <w:t>13. Glossary</w:t>
      </w:r>
    </w:p>
    <w:p>
      <w:pPr>
        <w:pStyle w:val="ListBullet"/>
      </w:pPr>
      <w:r>
        <w:t>Accuracy: The percentage of all predictions that were correct.</w:t>
      </w:r>
    </w:p>
    <w:p>
      <w:pPr>
        <w:pStyle w:val="ListBullet"/>
      </w:pPr>
      <w:r>
        <w:t>ALL: Acute Lymphoblastic Leukaemia, a type of blood cancer.</w:t>
      </w:r>
    </w:p>
    <w:p>
      <w:pPr>
        <w:pStyle w:val="ListBullet"/>
      </w:pPr>
      <w:r>
        <w:t>Augmentation: Creating altered copies of training images to help the model generalise.</w:t>
      </w:r>
    </w:p>
    <w:p>
      <w:pPr>
        <w:pStyle w:val="ListBullet"/>
      </w:pPr>
      <w:r>
        <w:t>Backbone: The core image-recognition neural network.</w:t>
      </w:r>
    </w:p>
    <w:p>
      <w:pPr>
        <w:pStyle w:val="ListBullet"/>
      </w:pPr>
      <w:r>
        <w:t>Confusion matrix: A grid showing correct vs. incorrect predictions per class.</w:t>
      </w:r>
    </w:p>
    <w:p>
      <w:pPr>
        <w:pStyle w:val="ListBullet"/>
      </w:pPr>
      <w:r>
        <w:t>Ensemble: Combining several models for a joint prediction.</w:t>
      </w:r>
    </w:p>
    <w:p>
      <w:pPr>
        <w:pStyle w:val="ListBullet"/>
      </w:pPr>
      <w:r>
        <w:t>Epoch: One complete pass through all training images.</w:t>
      </w:r>
    </w:p>
    <w:p>
      <w:pPr>
        <w:pStyle w:val="ListBullet"/>
      </w:pPr>
      <w:r>
        <w:t>F1-score: The harmonic mean of precision and recall.</w:t>
      </w:r>
    </w:p>
    <w:p>
      <w:pPr>
        <w:pStyle w:val="ListBullet"/>
      </w:pPr>
      <w:r>
        <w:t>Grad-CAM: A technique that highlights which image regions influenced the prediction.</w:t>
      </w:r>
    </w:p>
    <w:p>
      <w:pPr>
        <w:pStyle w:val="ListBullet"/>
      </w:pPr>
      <w:r>
        <w:t>ImageNet: A public collection of 14+ million labelled photographs.</w:t>
      </w:r>
    </w:p>
    <w:p>
      <w:pPr>
        <w:pStyle w:val="ListBullet"/>
      </w:pPr>
      <w:r>
        <w:t>Neural network: A chain of mathematical operations that learns patterns from data.</w:t>
      </w:r>
    </w:p>
    <w:p>
      <w:pPr>
        <w:pStyle w:val="ListBullet"/>
      </w:pPr>
      <w:r>
        <w:t>Precision: Of predictions for class X, what fraction actually were X.</w:t>
      </w:r>
    </w:p>
    <w:p>
      <w:pPr>
        <w:pStyle w:val="ListBullet"/>
      </w:pPr>
      <w:r>
        <w:t>Recall: Of actual class X images, what fraction the model found.</w:t>
      </w:r>
    </w:p>
    <w:p>
      <w:pPr>
        <w:pStyle w:val="ListBullet"/>
      </w:pPr>
      <w:r>
        <w:t>ROC-AUC: Area under the ROC curve; 1.0 is perfect separation.</w:t>
      </w:r>
    </w:p>
    <w:p>
      <w:pPr>
        <w:pStyle w:val="ListBullet"/>
      </w:pPr>
      <w:r>
        <w:t>Stacking: An ensemble method using a second-stage classifier.</w:t>
      </w:r>
    </w:p>
    <w:p>
      <w:pPr>
        <w:pStyle w:val="ListBullet"/>
      </w:pPr>
      <w:r>
        <w:t>Transfer learning: Using knowledge from one task to help with another.</w:t>
      </w:r>
    </w:p>
    <w:p>
      <w:pPr>
        <w:pStyle w:val="ListBullet"/>
      </w:pPr>
      <w:r>
        <w:t>Weights: The adjustable numbers inside a neural network.</w:t>
      </w:r>
    </w:p>
    <w:p>
      <w:pPr>
        <w:pStyle w:val="Heading1"/>
      </w:pPr>
      <w:r>
        <w:t>14. References</w:t>
      </w:r>
    </w:p>
    <w:p>
      <w:r>
        <w:t>[1] J. Jayachitra and N. Umarkathaf, 'Blood Cancer Identification using Hybrid Ensemble Deep Learning Technique,' ICEARS 2023, IEEE.</w:t>
      </w:r>
    </w:p>
    <w:p>
      <w:r>
        <w:t>[2] M. A. Eshraghi et al., 'Blood Cells Cancer (ALL) — 4 Classes,' Kaggle dataset.</w:t>
      </w:r>
    </w:p>
    <w:p>
      <w:r>
        <w:t>[3] M. Sandler et al., 'MobileNetV2,' CVPR 2018.</w:t>
      </w:r>
    </w:p>
    <w:p>
      <w:r>
        <w:t>[4] M. Tan and Q. V. Le, 'EfficientNet,' ICML 2019.</w:t>
      </w:r>
    </w:p>
    <w:p>
      <w:r>
        <w:t>[5] G. Huang et al., 'DenseNet,' CVPR 2017.</w:t>
      </w:r>
    </w:p>
    <w:p>
      <w:r>
        <w:t>[6] R. R. Selvaraju et al., 'Grad-CAM,' ICCV 2017.</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