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8B4" w14:textId="3985F1C2" w:rsidR="00257D66" w:rsidRPr="005E7F04" w:rsidRDefault="00FE258B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5E7F04">
        <w:rPr>
          <w:rFonts w:ascii="Calibri" w:eastAsia="SimSun" w:hAnsi="Calibri" w:cs="Calibri"/>
          <w:b/>
          <w:bCs/>
          <w:sz w:val="24"/>
          <w:lang w:val="en-US"/>
        </w:rPr>
        <w:t>﻿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兔肝匀浆液的制备及谷胱甘肽转硫酶（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）酶活力测定</w:t>
      </w:r>
    </w:p>
    <w:p w14:paraId="629871BF" w14:textId="7C978C93" w:rsidR="00FE258B" w:rsidRDefault="009544C9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>刘沛雨</w:t>
      </w: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 xml:space="preserve"> 2100012289</w:t>
      </w:r>
    </w:p>
    <w:p w14:paraId="2E3A39CB" w14:textId="45493985" w:rsidR="009544C9" w:rsidRPr="005E7F04" w:rsidRDefault="001946F6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实验内容</w:t>
      </w:r>
    </w:p>
    <w:p w14:paraId="25306B40" w14:textId="2920D773" w:rsidR="001946F6" w:rsidRPr="005E7F04" w:rsidRDefault="001946F6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兔肝匀浆液</w:t>
      </w:r>
      <w:r w:rsidR="00A96A4B"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的制备</w:t>
      </w:r>
    </w:p>
    <w:p w14:paraId="116EDF37" w14:textId="29E42563" w:rsidR="001946F6" w:rsidRPr="005E7F04" w:rsidRDefault="00A96A4B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谷胱甘肽转硫酶（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）酶活力的测定</w:t>
      </w:r>
    </w:p>
    <w:p w14:paraId="307B09BA" w14:textId="73F02DFE" w:rsidR="00A96A4B" w:rsidRPr="00F66868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  <w:lang w:val="en-US"/>
        </w:rPr>
      </w:pPr>
      <w:r w:rsidRPr="00F66868">
        <w:rPr>
          <w:rFonts w:ascii="Times New Roman" w:eastAsia="SimSun" w:hAnsi="Times New Roman" w:cs="Times New Roman"/>
          <w:szCs w:val="21"/>
          <w:lang w:val="en-US"/>
        </w:rPr>
        <w:t>使用三种匀浆方法制备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GST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样品</w:t>
      </w:r>
    </w:p>
    <w:p w14:paraId="602170D1" w14:textId="220957FE" w:rsidR="00A96A4B" w:rsidRPr="00F66868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  <w:lang w:val="en-US"/>
        </w:rPr>
      </w:pPr>
      <w:r w:rsidRPr="00F66868">
        <w:rPr>
          <w:rFonts w:ascii="Times New Roman" w:eastAsia="SimSun" w:hAnsi="Times New Roman" w:cs="Times New Roman"/>
          <w:szCs w:val="21"/>
          <w:lang w:val="en-US"/>
        </w:rPr>
        <w:t>测定三种制备方法得到的样品的酶活力</w:t>
      </w:r>
    </w:p>
    <w:p w14:paraId="5B81821D" w14:textId="7AFB18D3" w:rsidR="00A96A4B" w:rsidRPr="00F66868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Cs w:val="21"/>
          <w:lang w:val="en-US"/>
        </w:rPr>
      </w:pPr>
      <w:r w:rsidRPr="00F66868">
        <w:rPr>
          <w:rFonts w:ascii="Times New Roman" w:eastAsia="SimSun" w:hAnsi="Times New Roman" w:cs="Times New Roman"/>
          <w:szCs w:val="21"/>
          <w:lang w:val="en-US"/>
        </w:rPr>
        <w:t>选一种样品测定不同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pH</w:t>
      </w:r>
      <w:r w:rsidRPr="00F66868">
        <w:rPr>
          <w:rFonts w:ascii="Times New Roman" w:eastAsia="SimSun" w:hAnsi="Times New Roman" w:cs="Times New Roman"/>
          <w:szCs w:val="21"/>
          <w:lang w:val="en-US"/>
        </w:rPr>
        <w:t>下的酶活力</w:t>
      </w:r>
    </w:p>
    <w:p w14:paraId="0DA5146E" w14:textId="02E49A88" w:rsidR="009A37D6" w:rsidRPr="005E7F04" w:rsidRDefault="00AF4F61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实验结果及数据处理</w:t>
      </w:r>
    </w:p>
    <w:p w14:paraId="0FD21B09" w14:textId="179D7B8C" w:rsidR="00AF4F61" w:rsidRPr="005E7F04" w:rsidRDefault="00AF4F61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原始数据记录</w:t>
      </w:r>
    </w:p>
    <w:p w14:paraId="0F996BCD" w14:textId="36E767AC" w:rsidR="00236DF4" w:rsidRPr="005E7F04" w:rsidRDefault="008C703F" w:rsidP="00586C1C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实验过程中记录到的数据如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和表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所示。表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记录了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三种制备方法得到的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样品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在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pH=6.5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的条件下催化底物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（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60 mmol/L GSH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溶液以及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CDNB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的乙醇溶液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进行反应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的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过程中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溶液吸光度的变化情况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。表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记录了使用电动匀浆器制备得到的样品在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不同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pH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条件下催化底物进行反应的过程中溶液吸光度的变化情况。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玻璃匀浆器法、电动匀浆器法以及生物样品均质器法使用的兔肝质量分别为</w:t>
      </w:r>
      <w:r w:rsidR="001616F0">
        <w:rPr>
          <w:rFonts w:ascii="Times New Roman" w:eastAsia="SimSun" w:hAnsi="Times New Roman" w:cs="Times New Roman"/>
          <w:szCs w:val="21"/>
          <w:lang w:val="en-US"/>
        </w:rPr>
        <w:t>0.7g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="001616F0">
        <w:rPr>
          <w:rFonts w:ascii="Times New Roman" w:eastAsia="SimSun" w:hAnsi="Times New Roman" w:cs="Times New Roman"/>
          <w:szCs w:val="21"/>
          <w:lang w:val="en-US"/>
        </w:rPr>
        <w:t>.7g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="001616F0">
        <w:rPr>
          <w:rFonts w:ascii="Times New Roman" w:eastAsia="SimSun" w:hAnsi="Times New Roman" w:cs="Times New Roman"/>
          <w:szCs w:val="21"/>
          <w:lang w:val="en-US"/>
        </w:rPr>
        <w:t>.4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g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。每组实验均加入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1616F0">
        <w:rPr>
          <w:rFonts w:ascii="Times New Roman" w:eastAsia="SimSun" w:hAnsi="Times New Roman" w:cs="Times New Roman"/>
          <w:szCs w:val="21"/>
          <w:lang w:val="el-GR"/>
        </w:rPr>
        <w:t>μ</w:t>
      </w:r>
      <w:r w:rsidR="001616F0">
        <w:rPr>
          <w:rFonts w:ascii="Times New Roman" w:eastAsia="SimSun" w:hAnsi="Times New Roman" w:cs="Times New Roman"/>
          <w:szCs w:val="21"/>
          <w:lang w:val="en-US"/>
        </w:rPr>
        <w:t xml:space="preserve">L </w:t>
      </w:r>
      <w:r w:rsidR="001616F0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样品</w:t>
      </w:r>
      <w:r w:rsidR="00E32AB5">
        <w:rPr>
          <w:rFonts w:ascii="Times New Roman" w:eastAsia="SimSun" w:hAnsi="Times New Roman" w:cs="Times New Roman" w:hint="eastAsia"/>
          <w:szCs w:val="21"/>
          <w:lang w:val="en-US"/>
        </w:rPr>
        <w:t>以起始反应</w:t>
      </w:r>
      <w:r w:rsidR="001616F0">
        <w:rPr>
          <w:rFonts w:ascii="Times New Roman" w:eastAsia="SimSun" w:hAnsi="Times New Roman" w:cs="Times New Roman" w:hint="eastAsia"/>
          <w:szCs w:val="21"/>
          <w:lang w:val="en-US"/>
        </w:rPr>
        <w:t>；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数据均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通过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双光束紫外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-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可见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分光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光度计测定得到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（波长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340 nm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；测定时间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4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；测定间隔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0.5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，测定前进行了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校零，采用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进行测定。</w:t>
      </w:r>
    </w:p>
    <w:p w14:paraId="6568656C" w14:textId="75F5050A" w:rsidR="00670AB9" w:rsidRPr="005E7F04" w:rsidRDefault="00C07F50" w:rsidP="00670AB9">
      <w:pPr>
        <w:spacing w:line="360" w:lineRule="auto"/>
        <w:ind w:firstLine="420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1 pH=6.5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52C0901C" w14:textId="77777777" w:rsidTr="00323AE4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B548CF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DBF29" w14:textId="1E53453C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玻璃匀浆器，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237B" w14:textId="326B17F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5EB" w14:textId="1A95983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生物样品</w:t>
            </w:r>
            <w:r w:rsidR="00444EC6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均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质器，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</w:tr>
      <w:tr w:rsidR="00236DF4" w:rsidRPr="005E7F04" w14:paraId="3C56B259" w14:textId="77777777" w:rsidTr="00323AE4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76E9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256" w14:textId="0A6796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FB" w14:textId="66F327E1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873" w14:textId="11DDFC3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A79F" w14:textId="787461C0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B32" w14:textId="461FEA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BFE" w14:textId="7A3BB5A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260C" w14:textId="2116317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BBA" w14:textId="695F4F29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C8D0" w14:textId="48A64A0A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564710" w:rsidRPr="005E7F04" w14:paraId="00928A39" w14:textId="77777777" w:rsidTr="00236DF4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04D18D" w14:textId="04D1335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80A88" w14:textId="2EE59A1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E8C3FE" w14:textId="429AA5C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-0.562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3D725" w14:textId="41D7728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16130" w14:textId="490983B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A317F" w14:textId="5E1B8EB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19D049" w14:textId="0F614805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834F9" w14:textId="13216CD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4EDA0" w14:textId="79253A4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4D03AC" w14:textId="5189289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564710" w:rsidRPr="005E7F04" w14:paraId="6D043ADD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0CD4AAE" w14:textId="68AB3279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EB6C1DD" w14:textId="16231EB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43819A9" w14:textId="7534B53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3D2678" w14:textId="01FD3D2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FF9C963" w14:textId="60FE38F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CAF9975" w14:textId="56BF944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9EE3B7" w14:textId="1D1EAEC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0.687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5929E86" w14:textId="739F40B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4D8599E" w14:textId="28A5719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0.156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AF2BB32" w14:textId="3BC1A0F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0.699</w:t>
            </w:r>
          </w:p>
        </w:tc>
      </w:tr>
      <w:tr w:rsidR="00564710" w:rsidRPr="005E7F04" w14:paraId="4E6A2419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5317FC" w14:textId="0ABC29B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CCC075F" w14:textId="44779FA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A43A5C5" w14:textId="227716F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0.305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3B63BD" w14:textId="45C05CD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16E1617" w14:textId="13DC1E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522E53" w14:textId="5886E031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0.316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C7E1F2" w14:textId="36EA2EA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33D8CD" w14:textId="3F83300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113326" w14:textId="16F7C38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0.282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3E40A41" w14:textId="0245D13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0.126</w:t>
            </w:r>
          </w:p>
        </w:tc>
      </w:tr>
      <w:tr w:rsidR="00564710" w:rsidRPr="005E7F04" w14:paraId="51A83601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8F7ADAB" w14:textId="6F984E0E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CE6A1D" w14:textId="4D252F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C9B113" w14:textId="4695821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0.420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99B1E3D" w14:textId="4236021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EE3D935" w14:textId="7E87BBA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610B84B" w14:textId="7D2A4F3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A7B009F" w14:textId="18A5EF6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BD39267" w14:textId="26D6848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EA44D91" w14:textId="28EE99E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040667A" w14:textId="6F2C8C5D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0.109</w:t>
            </w:r>
          </w:p>
        </w:tc>
      </w:tr>
      <w:tr w:rsidR="00564710" w:rsidRPr="005E7F04" w14:paraId="2B3F51D3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2C9C7B" w14:textId="40F7585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7BE589" w14:textId="167FFE3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21A437" w14:textId="320528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0.522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A5BE19" w14:textId="15024B9A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D7AC97B" w14:textId="3837964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A904C06" w14:textId="467C749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CC161F0" w14:textId="1B94852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D71345" w14:textId="0EA76F9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30B2B3D" w14:textId="2EC2C7F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E868F97" w14:textId="5AE50F0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0.100</w:t>
            </w:r>
          </w:p>
        </w:tc>
      </w:tr>
      <w:tr w:rsidR="00564710" w:rsidRPr="005E7F04" w14:paraId="3DC159DF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732C772" w14:textId="6C05A333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1A384E" w14:textId="5269E0A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EEE4A6" w14:textId="3E8E3D6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1C685C1" w14:textId="04820EE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806019A" w14:textId="478D88C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978252B" w14:textId="759DE40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36D39D" w14:textId="7230A61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F610493" w14:textId="487186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F973BC" w14:textId="54029CBA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7D9E8B6" w14:textId="11AFA72F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0.091</w:t>
            </w:r>
          </w:p>
        </w:tc>
      </w:tr>
      <w:tr w:rsidR="0078607E" w:rsidRPr="005E7F04" w14:paraId="244A9CE2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FC3AE8C" w14:textId="57D8FC6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10BF472" w14:textId="72DE27E1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AD8D1C" w14:textId="5FAD1F3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0.700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0B40E3" w14:textId="52E3F39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5C53CE0" w14:textId="1BC5D3E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ABD333E" w14:textId="7F87FA7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0.722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63B181" w14:textId="5AC7A06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D95DA" w14:textId="464078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8AACEE" w14:textId="110A743B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18ED0B" w14:textId="3ABBC861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0.084</w:t>
            </w:r>
          </w:p>
        </w:tc>
      </w:tr>
      <w:tr w:rsidR="0078607E" w:rsidRPr="005E7F04" w14:paraId="037CBC06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96136A" w14:textId="3A57C32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1739782" w14:textId="327FF2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A883371" w14:textId="4031FDC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0.777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62A2808" w14:textId="785AEA9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4E744D" w14:textId="0F5E031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D08D0E" w14:textId="0377257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0.803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C03F2E" w14:textId="1FE576FD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44B388" w14:textId="32587E0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50DC" w14:textId="6C50B643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0.745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32C357" w14:textId="591718C0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0.078</w:t>
            </w:r>
          </w:p>
        </w:tc>
      </w:tr>
      <w:tr w:rsidR="00746EBB" w:rsidRPr="005E7F04" w14:paraId="34F937A8" w14:textId="77777777" w:rsidTr="00236DF4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31D" w14:textId="53E575F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CBD1" w14:textId="151D876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82D" w14:textId="216C6BC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0.849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BBA" w14:textId="2167C65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9F45" w14:textId="24A8F3C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99" w14:textId="7715837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0.882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5A7" w14:textId="585C49D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4EA" w14:textId="07E6E41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867" w14:textId="387565B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A1" w14:textId="6672095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</w:tr>
    </w:tbl>
    <w:p w14:paraId="7F890266" w14:textId="56941276" w:rsidR="00670AB9" w:rsidRPr="005E7F04" w:rsidRDefault="00C07F50" w:rsidP="00D9731E">
      <w:pPr>
        <w:spacing w:line="360" w:lineRule="auto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lastRenderedPageBreak/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2 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0D4D1598" w14:textId="77777777" w:rsidTr="003A7D1B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346F9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A9EAB" w14:textId="57F60F34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匀浆器，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EEA6" w14:textId="6E8F7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7.0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18B2" w14:textId="0B5AFE2A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.5</w:t>
            </w:r>
          </w:p>
        </w:tc>
      </w:tr>
      <w:tr w:rsidR="00236DF4" w:rsidRPr="005E7F04" w14:paraId="1CE38020" w14:textId="77777777" w:rsidTr="003A7D1B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332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04DB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2D6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E58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DB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FE6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B6D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1E3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0D5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83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236DF4" w:rsidRPr="005E7F04" w14:paraId="466E84C5" w14:textId="77777777" w:rsidTr="003A7D1B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71AA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72A8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7420E" w14:textId="38B6AF48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-0.570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2DD1B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3A0B6" w14:textId="7FB8642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965A6" w14:textId="1DCFCD6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4D4AC6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A73FC" w14:textId="1D87955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058A0" w14:textId="34490E72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D4AF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236DF4" w:rsidRPr="005E7F04" w14:paraId="3F80EF8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E859B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4C603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B849058" w14:textId="554B9AD6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0.140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7A26DAB" w14:textId="670871D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55E99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3EF806D" w14:textId="31728EC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61EBA86" w14:textId="3FF7EA8C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3E69A3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0B733C8" w14:textId="166ED5A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204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F4A4689" w14:textId="196C2D1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987</w:t>
            </w:r>
          </w:p>
        </w:tc>
      </w:tr>
      <w:tr w:rsidR="00236DF4" w:rsidRPr="005E7F04" w14:paraId="430D8D92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071EE4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CDEFC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74A007" w14:textId="6DDCF7F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246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52BF440" w14:textId="78AE2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460E9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4A9D048" w14:textId="4E21C96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1A86" w14:textId="4DD6C6B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90E3B4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2050044" w14:textId="6821D73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4E7FE24" w14:textId="656EAC5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172</w:t>
            </w:r>
          </w:p>
        </w:tc>
      </w:tr>
      <w:tr w:rsidR="00236DF4" w:rsidRPr="005E7F04" w14:paraId="058260F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FCFE1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AD2EB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3E62BAE" w14:textId="069218D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337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2655CE" w14:textId="3D872FB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67E0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0DA33D" w14:textId="4E5EE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B3C4D0E" w14:textId="6EBE870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364C92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C85F0C6" w14:textId="39E1EC4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972D5D7" w14:textId="3885E37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158</w:t>
            </w:r>
          </w:p>
        </w:tc>
      </w:tr>
      <w:tr w:rsidR="00236DF4" w:rsidRPr="005E7F04" w14:paraId="6A439CC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5CE9E9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2A8312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97159BD" w14:textId="1283D93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8C7B94" w14:textId="6492247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6DC76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2870D16" w14:textId="6BC877A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608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0DE2F3" w14:textId="3AB7488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9C87B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B47832D" w14:textId="49529E6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8018C9" w14:textId="5A5FFC8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142</w:t>
            </w:r>
          </w:p>
        </w:tc>
      </w:tr>
      <w:tr w:rsidR="00236DF4" w:rsidRPr="005E7F04" w14:paraId="0A6EAD5B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EE25C4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CF9FAE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D1B998E" w14:textId="659AFB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DEBF6A" w14:textId="2C9470C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6235D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B7C434" w14:textId="49E9EFF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723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8EEF5F3" w14:textId="616473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25E5D2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29180E" w14:textId="6114B98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807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88CBE56" w14:textId="04481E5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131</w:t>
            </w:r>
          </w:p>
        </w:tc>
      </w:tr>
      <w:tr w:rsidR="00236DF4" w:rsidRPr="005E7F04" w14:paraId="1D61A66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FD33C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B9451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C9B9836" w14:textId="2304029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550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2B0CD6" w14:textId="15D1D44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8309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8C7881" w14:textId="75A4FA3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F7C56E" w14:textId="0465F2D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5DDB4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16C0F" w14:textId="378CD0F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929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8B69AB" w14:textId="6850BA5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122</w:t>
            </w:r>
          </w:p>
        </w:tc>
      </w:tr>
      <w:tr w:rsidR="00236DF4" w:rsidRPr="005E7F04" w14:paraId="1D4CDE0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638A83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69AED3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08A8A7C" w14:textId="0B0E28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DEF5910" w14:textId="2128D95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38A67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257C907" w14:textId="61E59C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CC7CD2F" w14:textId="3C3EC9A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817746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D904E2" w14:textId="7FF92D95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9D22CC" w14:textId="3863F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</w:tr>
      <w:tr w:rsidR="00236DF4" w:rsidRPr="005E7F04" w14:paraId="08B15F30" w14:textId="77777777" w:rsidTr="003A7D1B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37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69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270" w14:textId="31AB04C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674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BC88" w14:textId="4447971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FE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BE8F" w14:textId="46687DCE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BA7" w14:textId="29C7B8E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F5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8F0" w14:textId="18C8435B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1.157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BF8E" w14:textId="6BFD76F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118</w:t>
            </w:r>
          </w:p>
        </w:tc>
      </w:tr>
    </w:tbl>
    <w:p w14:paraId="5740785D" w14:textId="69DAC2D4" w:rsidR="004872DA" w:rsidRPr="00CA1D90" w:rsidRDefault="00134838" w:rsidP="00CA1D9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CA1D90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数据处理作图及计算结果</w:t>
      </w:r>
    </w:p>
    <w:p w14:paraId="3BEE0360" w14:textId="112E09D5" w:rsidR="004872DA" w:rsidRPr="005E7F04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数据处理与可视化</w:t>
      </w:r>
    </w:p>
    <w:p w14:paraId="45F3AACA" w14:textId="263FBCCE" w:rsidR="00C63814" w:rsidRPr="005E7F04" w:rsidRDefault="001F5238" w:rsidP="00C63814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由于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在实验过程中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采用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测定反应过程中溶液吸光度的变化情况，因此各组实验中第一个时间点（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T = 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min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）的吸光度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均为负值（此时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测定比色皿被取出，向其中添加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5E7F04">
        <w:rPr>
          <w:rFonts w:ascii="Times New Roman" w:eastAsia="SimSun" w:hAnsi="Times New Roman" w:cs="Times New Roman"/>
          <w:szCs w:val="21"/>
          <w:lang w:val="el-GR"/>
        </w:rPr>
        <w:t>μ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L 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样品</w:t>
      </w:r>
      <w:r w:rsidR="00783908" w:rsidRPr="005E7F04">
        <w:rPr>
          <w:rFonts w:ascii="Times New Roman" w:eastAsia="SimSun" w:hAnsi="Times New Roman" w:cs="Times New Roman"/>
          <w:szCs w:val="21"/>
          <w:lang w:val="en-US"/>
        </w:rPr>
        <w:t>以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起始反应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。故数据处理过程中需要将该时刻</w:t>
      </w:r>
      <w:r w:rsidR="00171A0D">
        <w:rPr>
          <w:rFonts w:ascii="Times New Roman" w:eastAsia="SimSun" w:hAnsi="Times New Roman" w:cs="Times New Roman" w:hint="eastAsia"/>
          <w:szCs w:val="21"/>
          <w:lang w:val="en-US"/>
        </w:rPr>
        <w:t>的</w:t>
      </w:r>
      <w:r w:rsidR="00171A0D">
        <w:rPr>
          <w:rFonts w:ascii="Times New Roman" w:eastAsia="SimSun" w:hAnsi="Times New Roman" w:cs="Times New Roman" w:hint="eastAsia"/>
          <w:szCs w:val="21"/>
          <w:lang w:val="en-US"/>
        </w:rPr>
        <w:t>ABS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为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并且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T = 0.5 min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时的</w:t>
      </w:r>
      <w:r w:rsidR="0090060D" w:rsidRPr="005E7F04">
        <w:rPr>
          <w:rFonts w:ascii="Times New Roman" w:eastAsia="SimSun" w:hAnsi="Times New Roman" w:cs="Times New Roman"/>
          <w:szCs w:val="21"/>
          <w:lang w:val="el-GR"/>
        </w:rPr>
        <w:t>Δ</w:t>
      </w:r>
      <w:r w:rsidR="0090060D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。处理</w:t>
      </w:r>
      <w:r w:rsidR="00171A0D">
        <w:rPr>
          <w:rFonts w:ascii="Times New Roman" w:eastAsia="SimSun" w:hAnsi="Times New Roman" w:cs="Times New Roman" w:hint="eastAsia"/>
          <w:szCs w:val="21"/>
          <w:lang w:val="en-US"/>
        </w:rPr>
        <w:t>后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得到的数据如图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和图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所示。</w:t>
      </w:r>
      <w:r w:rsidR="009C2F19">
        <w:rPr>
          <w:rFonts w:ascii="Times New Roman" w:eastAsia="SimSun" w:hAnsi="Times New Roman" w:cs="Times New Roman" w:hint="eastAsia"/>
          <w:szCs w:val="21"/>
          <w:lang w:val="en-US"/>
        </w:rPr>
        <w:t>下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图还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显示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了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修正后的数据在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T = 0 min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处的切线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（均使用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6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次多项式拟合曲线</w:t>
      </w:r>
      <w:r w:rsidR="004355E0">
        <w:rPr>
          <w:rFonts w:ascii="Times New Roman" w:eastAsia="SimSun" w:hAnsi="Times New Roman" w:cs="Times New Roman" w:hint="eastAsia"/>
          <w:szCs w:val="21"/>
          <w:lang w:val="en-US"/>
        </w:rPr>
        <w:t>计算</w:t>
      </w:r>
      <w:r w:rsidR="00283900">
        <w:rPr>
          <w:rFonts w:ascii="Times New Roman" w:eastAsia="SimSun" w:hAnsi="Times New Roman" w:cs="Times New Roman" w:hint="eastAsia"/>
          <w:szCs w:val="21"/>
          <w:lang w:val="en-US"/>
        </w:rPr>
        <w:t>得到切线方程）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及其斜率</w:t>
      </w:r>
      <w:r w:rsidR="00CA1D90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171A0D">
        <w:rPr>
          <w:rFonts w:ascii="Times New Roman" w:eastAsia="SimSun" w:hAnsi="Times New Roman" w:cs="Times New Roman" w:hint="eastAsia"/>
          <w:szCs w:val="21"/>
          <w:lang w:val="en-US"/>
        </w:rPr>
        <w:t>斜率</w:t>
      </w:r>
      <w:r w:rsidR="00CA1D90">
        <w:rPr>
          <w:rFonts w:ascii="Times New Roman" w:eastAsia="SimSun" w:hAnsi="Times New Roman" w:cs="Times New Roman" w:hint="eastAsia"/>
          <w:szCs w:val="21"/>
          <w:lang w:val="en-US"/>
        </w:rPr>
        <w:t>表征</w:t>
      </w:r>
      <w:r w:rsidR="00D63828">
        <w:rPr>
          <w:rFonts w:ascii="Times New Roman" w:eastAsia="SimSun" w:hAnsi="Times New Roman" w:cs="Times New Roman" w:hint="eastAsia"/>
          <w:szCs w:val="21"/>
          <w:lang w:val="en-US"/>
        </w:rPr>
        <w:t>酶促反应的初速度</w:t>
      </w:r>
      <w:r w:rsidR="00D90D2C" w:rsidRPr="005E7F04">
        <w:rPr>
          <w:rFonts w:ascii="Times New Roman" w:eastAsia="SimSun" w:hAnsi="Times New Roman" w:cs="Times New Roman" w:hint="eastAsia"/>
          <w:szCs w:val="21"/>
          <w:lang w:val="en-US"/>
        </w:rPr>
        <w:t>。</w:t>
      </w:r>
    </w:p>
    <w:p w14:paraId="35BDC705" w14:textId="21C3C053" w:rsidR="00F037B1" w:rsidRPr="005E7F04" w:rsidRDefault="00D90D2C" w:rsidP="00783908">
      <w:pPr>
        <w:spacing w:line="360" w:lineRule="auto"/>
        <w:jc w:val="center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="00CA51D8" w:rsidRPr="005E7F04">
        <w:rPr>
          <w:rFonts w:ascii="Times New Roman" w:eastAsia="SimSun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46BA24F" wp14:editId="6E8AAC58">
            <wp:simplePos x="0" y="0"/>
            <wp:positionH relativeFrom="column">
              <wp:posOffset>-454</wp:posOffset>
            </wp:positionH>
            <wp:positionV relativeFrom="paragraph">
              <wp:posOffset>1526177</wp:posOffset>
            </wp:positionV>
            <wp:extent cx="5731510" cy="1153160"/>
            <wp:effectExtent l="0" t="0" r="0" b="2540"/>
            <wp:wrapTopAndBottom/>
            <wp:docPr id="5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DD5BED58-204B-9F47-BBEB-5E3786663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DD5BED58-204B-9F47-BBEB-5E3786663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2E" w:rsidRPr="005E7F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9156C6" wp14:editId="2445A22B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731510" cy="1118870"/>
            <wp:effectExtent l="0" t="0" r="0" b="0"/>
            <wp:wrapTopAndBottom/>
            <wp:docPr id="49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397E2113-C1D5-5D4A-83BF-916BB1E93D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>
                      <a:extLst>
                        <a:ext uri="{FF2B5EF4-FFF2-40B4-BE49-F238E27FC236}">
                          <a16:creationId xmlns:a16="http://schemas.microsoft.com/office/drawing/2014/main" id="{397E2113-C1D5-5D4A-83BF-916BB1E93D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1 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 = 6.5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时不同方法制备得到的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时间－吸光度关系曲线</w:t>
      </w:r>
    </w:p>
    <w:p w14:paraId="6EE4A150" w14:textId="2737DA37" w:rsidR="00C6301B" w:rsidRDefault="00D90D2C" w:rsidP="0066146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2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下使用电动匀浆器制备得到的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</w:rPr>
        <w:t>时间－吸光度关系曲线</w:t>
      </w:r>
    </w:p>
    <w:p w14:paraId="24BB3165" w14:textId="77777777" w:rsidR="007A3906" w:rsidRPr="005E7F04" w:rsidRDefault="007A3906" w:rsidP="0066146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</w:p>
    <w:p w14:paraId="4A28F7D4" w14:textId="7BB5CECD" w:rsidR="004872DA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结果计算</w:t>
      </w:r>
    </w:p>
    <w:p w14:paraId="08CB8131" w14:textId="25235DF7" w:rsidR="00B17E9F" w:rsidRDefault="00C33974" w:rsidP="00C33974">
      <w:pPr>
        <w:spacing w:line="360" w:lineRule="auto"/>
        <w:ind w:left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使用以下公式计算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酶的酶活力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proofErr w:type="spellStart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μmol</w:t>
      </w:r>
      <w:proofErr w:type="spellEnd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/min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：</w:t>
      </w:r>
    </w:p>
    <w:p w14:paraId="03800678" w14:textId="09968467" w:rsidR="00C33974" w:rsidRPr="00F62637" w:rsidRDefault="006338DF" w:rsidP="00F62637">
      <w:pPr>
        <w:spacing w:line="360" w:lineRule="auto"/>
        <w:rPr>
          <w:rFonts w:ascii="Times New Roman" w:eastAsia="SimSun" w:hAnsi="Times New Roman" w:cs="Times New Roman"/>
          <w:i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="SimSun" w:hAnsi="Cambria Math" w:cs="Times New Roman"/>
                  <w:i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∆A⋅v</m:t>
              </m:r>
            </m:num>
            <m:den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ϵ⋅L</m:t>
              </m:r>
            </m:den>
          </m:f>
        </m:oMath>
      </m:oMathPara>
    </w:p>
    <w:p w14:paraId="6E620955" w14:textId="50F7B445" w:rsidR="00F62637" w:rsidRDefault="00F62637" w:rsidP="00F62637">
      <w:pPr>
        <w:spacing w:line="360" w:lineRule="auto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/>
          <w:iCs/>
          <w:szCs w:val="21"/>
          <w:lang w:val="en-US"/>
        </w:rPr>
        <w:tab/>
      </w:r>
      <w:r>
        <w:rPr>
          <w:rFonts w:ascii="Times New Roman" w:eastAsia="SimSun" w:hAnsi="Times New Roman" w:cs="Times New Roman" w:hint="eastAsia"/>
          <w:iCs/>
          <w:szCs w:val="21"/>
          <w:lang w:val="en-US"/>
        </w:rPr>
        <w:t>其中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∆A</m:t>
        </m:r>
      </m:oMath>
      <w:r>
        <w:rPr>
          <w:rFonts w:ascii="Times New Roman" w:eastAsia="SimSun" w:hAnsi="Times New Roman" w:cs="Times New Roman" w:hint="eastAsia"/>
          <w:szCs w:val="21"/>
          <w:lang w:val="en-US"/>
        </w:rPr>
        <w:t>为反应开始</w:t>
      </w:r>
      <w:r w:rsidRPr="00F62637">
        <w:rPr>
          <w:rFonts w:ascii="Times New Roman" w:eastAsia="SimSun" w:hAnsi="Times New Roman" w:cs="Times New Roman" w:hint="eastAsia"/>
          <w:szCs w:val="21"/>
          <w:lang w:val="en-US"/>
        </w:rPr>
        <w:t>1 min</w:t>
      </w:r>
      <w:r w:rsidR="000B4388">
        <w:rPr>
          <w:rFonts w:ascii="Times New Roman" w:eastAsia="SimSun" w:hAnsi="Times New Roman" w:cs="Times New Roman" w:hint="eastAsia"/>
          <w:szCs w:val="21"/>
          <w:lang w:val="en-US"/>
        </w:rPr>
        <w:t>后</w:t>
      </w:r>
      <w:r>
        <w:rPr>
          <w:rFonts w:ascii="Times New Roman" w:eastAsia="SimSun" w:hAnsi="Times New Roman" w:cs="Times New Roman" w:hint="eastAsia"/>
          <w:szCs w:val="21"/>
          <w:lang w:val="en-US"/>
        </w:rPr>
        <w:t>溶液</w:t>
      </w:r>
      <w:r w:rsidRPr="00F62637">
        <w:rPr>
          <w:rFonts w:ascii="Times New Roman" w:eastAsia="SimSun" w:hAnsi="Times New Roman" w:cs="Times New Roman" w:hint="eastAsia"/>
          <w:szCs w:val="21"/>
        </w:rPr>
        <w:t>吸光值</w:t>
      </w:r>
      <w:r w:rsidR="002A14B4">
        <w:rPr>
          <w:rFonts w:ascii="Times New Roman" w:eastAsia="SimSun" w:hAnsi="Times New Roman" w:cs="Times New Roman" w:hint="eastAsia"/>
          <w:szCs w:val="21"/>
        </w:rPr>
        <w:t>的变化</w:t>
      </w:r>
      <w:r w:rsidR="009439A2">
        <w:rPr>
          <w:rFonts w:ascii="Times New Roman" w:eastAsia="SimSun" w:hAnsi="Times New Roman" w:cs="Times New Roman" w:hint="eastAsia"/>
          <w:szCs w:val="21"/>
        </w:rPr>
        <w:t>值</w:t>
      </w:r>
      <w:r w:rsidR="002343B2">
        <w:rPr>
          <w:rFonts w:ascii="Times New Roman" w:eastAsia="SimSun" w:hAnsi="Times New Roman" w:cs="Times New Roman" w:hint="eastAsia"/>
          <w:szCs w:val="21"/>
        </w:rPr>
        <w:t>，</w:t>
      </w:r>
      <w:r w:rsidR="009439A2">
        <w:rPr>
          <w:rFonts w:ascii="Times New Roman" w:eastAsia="SimSun" w:hAnsi="Times New Roman" w:cs="Times New Roman" w:hint="eastAsia"/>
          <w:szCs w:val="21"/>
        </w:rPr>
        <w:t>即</w:t>
      </w:r>
      <w:r w:rsidR="00344E55">
        <w:rPr>
          <w:rFonts w:ascii="Times New Roman" w:eastAsia="SimSun" w:hAnsi="Times New Roman" w:cs="Times New Roman" w:hint="eastAsia"/>
          <w:szCs w:val="21"/>
        </w:rPr>
        <w:t>上图中切线</w:t>
      </w:r>
      <w:r w:rsidR="00855647">
        <w:rPr>
          <w:rFonts w:ascii="Times New Roman" w:eastAsia="SimSun" w:hAnsi="Times New Roman" w:cs="Times New Roman" w:hint="eastAsia"/>
          <w:szCs w:val="21"/>
        </w:rPr>
        <w:t>的斜率</w:t>
      </w:r>
      <w:r w:rsidR="002343B2">
        <w:rPr>
          <w:rFonts w:ascii="Times New Roman" w:eastAsia="SimSun" w:hAnsi="Times New Roman" w:cs="Times New Roman" w:hint="eastAsia"/>
          <w:szCs w:val="21"/>
        </w:rPr>
        <w:t>（酶促反应速度应以</w:t>
      </w:r>
      <w:r w:rsidR="009439A2">
        <w:rPr>
          <w:rFonts w:ascii="Times New Roman" w:eastAsia="SimSun" w:hAnsi="Times New Roman" w:cs="Times New Roman" w:hint="eastAsia"/>
          <w:szCs w:val="21"/>
        </w:rPr>
        <w:t>反应的</w:t>
      </w:r>
      <w:r w:rsidR="002343B2">
        <w:rPr>
          <w:rFonts w:ascii="Times New Roman" w:eastAsia="SimSun" w:hAnsi="Times New Roman" w:cs="Times New Roman" w:hint="eastAsia"/>
          <w:szCs w:val="21"/>
        </w:rPr>
        <w:t>初速度为准）</w:t>
      </w:r>
      <w:r w:rsidR="009439A2">
        <w:rPr>
          <w:rFonts w:ascii="Times New Roman" w:eastAsia="SimSun" w:hAnsi="Times New Roman" w:cs="Times New Roman" w:hint="eastAsia"/>
          <w:szCs w:val="21"/>
        </w:rPr>
        <w:t>；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v</m:t>
        </m:r>
      </m:oMath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为酶促反应体积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3 mL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0B4388">
        <w:rPr>
          <w:rFonts w:ascii="Times New Roman" w:eastAsia="SimSun" w:hAnsi="Times New Roman" w:cs="Times New Roman" w:hint="eastAsia"/>
          <w:szCs w:val="21"/>
          <w:lang w:val="en-US"/>
        </w:rPr>
        <w:t>每组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实验加入的</w:t>
      </w:r>
      <w:r w:rsidR="000760F6">
        <w:rPr>
          <w:rFonts w:ascii="Times New Roman" w:eastAsia="SimSun" w:hAnsi="Times New Roman" w:cs="Times New Roman"/>
          <w:szCs w:val="21"/>
          <w:lang w:val="en-US"/>
        </w:rPr>
        <w:t>3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μ</w:t>
      </w:r>
      <w:r w:rsidR="000760F6">
        <w:rPr>
          <w:rFonts w:ascii="Times New Roman" w:eastAsia="SimSun" w:hAnsi="Times New Roman" w:cs="Times New Roman"/>
          <w:szCs w:val="21"/>
          <w:lang w:val="en-US"/>
        </w:rPr>
        <w:t>L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GST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样品可忽略不计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9439A2">
        <w:rPr>
          <w:rFonts w:ascii="Times New Roman" w:eastAsia="SimSun" w:hAnsi="Times New Roman" w:cs="Times New Roman" w:hint="eastAsia"/>
          <w:szCs w:val="21"/>
          <w:lang w:val="en-US"/>
        </w:rPr>
        <w:t>；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ϵ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为产物的消光系数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9.6 L/</w:t>
      </w:r>
      <w:r w:rsidR="002A14B4">
        <w:rPr>
          <w:rFonts w:ascii="Times New Roman" w:eastAsia="SimSun" w:hAnsi="Times New Roman" w:cs="Times New Roman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mmol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∙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cm</w:t>
      </w:r>
      <w:r w:rsidR="002A14B4">
        <w:rPr>
          <w:rFonts w:ascii="Times New Roman" w:eastAsia="SimSun" w:hAnsi="Times New Roman" w:cs="Times New Roman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9439A2">
        <w:rPr>
          <w:rFonts w:ascii="Times New Roman" w:eastAsia="SimSun" w:hAnsi="Times New Roman" w:cs="Times New Roman" w:hint="eastAsia"/>
          <w:szCs w:val="21"/>
          <w:lang w:val="en-US"/>
        </w:rPr>
        <w:t>；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L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为比色杯的光程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1 cm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计算</w:t>
      </w:r>
      <w:r w:rsidR="009D162A">
        <w:rPr>
          <w:rFonts w:ascii="Times New Roman" w:eastAsia="SimSun" w:hAnsi="Times New Roman" w:cs="Times New Roman" w:hint="eastAsia"/>
          <w:szCs w:val="21"/>
          <w:lang w:val="en-US"/>
        </w:rPr>
        <w:t>得到的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结果如表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所示：</w:t>
      </w:r>
    </w:p>
    <w:p w14:paraId="102623E7" w14:textId="10E36102" w:rsidR="00A25BDA" w:rsidRPr="00A25BDA" w:rsidRDefault="00A25BDA" w:rsidP="00A25BD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表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3</w:t>
      </w:r>
      <w:r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各实验组测定得到的酶活力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21DE" w14:paraId="26DE1345" w14:textId="77777777" w:rsidTr="009C75EF">
        <w:tc>
          <w:tcPr>
            <w:tcW w:w="3005" w:type="dxa"/>
            <w:vAlign w:val="center"/>
          </w:tcPr>
          <w:p w14:paraId="04BFC3B5" w14:textId="22FD55DE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实验组别</w:t>
            </w:r>
          </w:p>
        </w:tc>
        <w:tc>
          <w:tcPr>
            <w:tcW w:w="3005" w:type="dxa"/>
            <w:vAlign w:val="center"/>
          </w:tcPr>
          <w:p w14:paraId="4BC3BB50" w14:textId="37F2BC6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</w:t>
            </w:r>
            <w:r w:rsidR="009D162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条件</w:t>
            </w:r>
          </w:p>
        </w:tc>
        <w:tc>
          <w:tcPr>
            <w:tcW w:w="3006" w:type="dxa"/>
            <w:vAlign w:val="center"/>
          </w:tcPr>
          <w:p w14:paraId="2EF5CD9F" w14:textId="2EB74B9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酶活力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（</w:t>
            </w:r>
            <w:proofErr w:type="spellStart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μmol</w:t>
            </w:r>
            <w:proofErr w:type="spellEnd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/min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）</w:t>
            </w:r>
          </w:p>
        </w:tc>
      </w:tr>
      <w:tr w:rsidR="009C75EF" w14:paraId="1F60BB3A" w14:textId="77777777" w:rsidTr="009C75EF">
        <w:tc>
          <w:tcPr>
            <w:tcW w:w="3005" w:type="dxa"/>
            <w:vMerge w:val="restart"/>
            <w:vAlign w:val="center"/>
          </w:tcPr>
          <w:p w14:paraId="309614FC" w14:textId="79095E08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6.5</w:t>
            </w: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，不同制备方法</w:t>
            </w:r>
          </w:p>
        </w:tc>
        <w:tc>
          <w:tcPr>
            <w:tcW w:w="3005" w:type="dxa"/>
            <w:vAlign w:val="center"/>
          </w:tcPr>
          <w:p w14:paraId="08AFD600" w14:textId="47BD5484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玻璃匀浆器</w:t>
            </w:r>
          </w:p>
        </w:tc>
        <w:tc>
          <w:tcPr>
            <w:tcW w:w="3006" w:type="dxa"/>
            <w:vAlign w:val="center"/>
          </w:tcPr>
          <w:p w14:paraId="5CB1784B" w14:textId="38287D7A" w:rsidR="009C75EF" w:rsidRDefault="009576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.1261</w:t>
            </w:r>
          </w:p>
        </w:tc>
      </w:tr>
      <w:tr w:rsidR="009C75EF" w14:paraId="543D636F" w14:textId="77777777" w:rsidTr="009C75EF">
        <w:tc>
          <w:tcPr>
            <w:tcW w:w="3005" w:type="dxa"/>
            <w:vMerge/>
            <w:vAlign w:val="center"/>
          </w:tcPr>
          <w:p w14:paraId="5CFB5BB6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1FA4570" w14:textId="2052579B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</w:t>
            </w:r>
          </w:p>
        </w:tc>
        <w:tc>
          <w:tcPr>
            <w:tcW w:w="3006" w:type="dxa"/>
            <w:vAlign w:val="center"/>
          </w:tcPr>
          <w:p w14:paraId="694697E0" w14:textId="5C34023A" w:rsidR="009C75EF" w:rsidRDefault="009576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bookmarkStart w:id="0" w:name="OLE_LINK1"/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.1303</w:t>
            </w:r>
            <w:bookmarkEnd w:id="0"/>
          </w:p>
        </w:tc>
      </w:tr>
      <w:tr w:rsidR="009C75EF" w14:paraId="3102DC82" w14:textId="77777777" w:rsidTr="009C75EF">
        <w:tc>
          <w:tcPr>
            <w:tcW w:w="3005" w:type="dxa"/>
            <w:vMerge/>
            <w:vAlign w:val="center"/>
          </w:tcPr>
          <w:p w14:paraId="521C8B37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C159A6B" w14:textId="25CDCAF0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生物样品均质器</w:t>
            </w:r>
          </w:p>
        </w:tc>
        <w:tc>
          <w:tcPr>
            <w:tcW w:w="3006" w:type="dxa"/>
            <w:vAlign w:val="center"/>
          </w:tcPr>
          <w:p w14:paraId="53D1C1C1" w14:textId="0B03DAA2" w:rsidR="009C75EF" w:rsidRDefault="009576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.1120</w:t>
            </w:r>
          </w:p>
        </w:tc>
      </w:tr>
      <w:tr w:rsidR="009C75EF" w14:paraId="4B776A51" w14:textId="77777777" w:rsidTr="009C75EF">
        <w:tc>
          <w:tcPr>
            <w:tcW w:w="3005" w:type="dxa"/>
            <w:vMerge w:val="restart"/>
            <w:vAlign w:val="center"/>
          </w:tcPr>
          <w:p w14:paraId="55D2476F" w14:textId="0DE3021F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电动匀浆器制备，不同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</w:t>
            </w:r>
          </w:p>
        </w:tc>
        <w:tc>
          <w:tcPr>
            <w:tcW w:w="3005" w:type="dxa"/>
            <w:vAlign w:val="center"/>
          </w:tcPr>
          <w:p w14:paraId="7F0B4FDA" w14:textId="01590143" w:rsidR="009C75EF" w:rsidRPr="00A25BDA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6.0</w:t>
            </w:r>
          </w:p>
        </w:tc>
        <w:tc>
          <w:tcPr>
            <w:tcW w:w="3006" w:type="dxa"/>
            <w:vAlign w:val="center"/>
          </w:tcPr>
          <w:p w14:paraId="700358ED" w14:textId="084DC2D2" w:rsidR="009C75EF" w:rsidRDefault="00EF7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.1073</w:t>
            </w:r>
          </w:p>
        </w:tc>
      </w:tr>
      <w:tr w:rsidR="009C75EF" w14:paraId="04862C35" w14:textId="77777777" w:rsidTr="009C75EF">
        <w:tc>
          <w:tcPr>
            <w:tcW w:w="3005" w:type="dxa"/>
            <w:vMerge/>
            <w:vAlign w:val="center"/>
          </w:tcPr>
          <w:p w14:paraId="3F3686C2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9DC9872" w14:textId="4963C158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7.0</w:t>
            </w:r>
          </w:p>
        </w:tc>
        <w:tc>
          <w:tcPr>
            <w:tcW w:w="3006" w:type="dxa"/>
            <w:vAlign w:val="center"/>
          </w:tcPr>
          <w:p w14:paraId="0ED10A56" w14:textId="3D003580" w:rsidR="009C75EF" w:rsidRDefault="00EF7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.1216</w:t>
            </w:r>
          </w:p>
        </w:tc>
      </w:tr>
      <w:tr w:rsidR="009C75EF" w14:paraId="32CE265F" w14:textId="77777777" w:rsidTr="009C75EF">
        <w:tc>
          <w:tcPr>
            <w:tcW w:w="3005" w:type="dxa"/>
            <w:vMerge/>
            <w:vAlign w:val="center"/>
          </w:tcPr>
          <w:p w14:paraId="2A5AB21D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46FD999" w14:textId="44AC22EE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7.5</w:t>
            </w:r>
          </w:p>
        </w:tc>
        <w:tc>
          <w:tcPr>
            <w:tcW w:w="3006" w:type="dxa"/>
            <w:vAlign w:val="center"/>
          </w:tcPr>
          <w:p w14:paraId="01FBC556" w14:textId="549E2A7E" w:rsidR="009C75EF" w:rsidRDefault="00EF7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0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.1399</w:t>
            </w:r>
          </w:p>
        </w:tc>
      </w:tr>
    </w:tbl>
    <w:p w14:paraId="6D5D6E11" w14:textId="37EA958E" w:rsidR="008473B5" w:rsidRDefault="008473B5" w:rsidP="00F62637">
      <w:pPr>
        <w:spacing w:line="360" w:lineRule="auto"/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8680B2" wp14:editId="73EF4E99">
            <wp:simplePos x="0" y="0"/>
            <wp:positionH relativeFrom="column">
              <wp:posOffset>1254760</wp:posOffset>
            </wp:positionH>
            <wp:positionV relativeFrom="paragraph">
              <wp:posOffset>328930</wp:posOffset>
            </wp:positionV>
            <wp:extent cx="3115945" cy="18815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ab/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图</w:t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>3</w:t>
      </w:r>
      <w:r w:rsidR="000A6B1F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为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使用电动匀浆器制备得到的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GST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样品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的酶活力关于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pH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的变化曲线：</w:t>
      </w:r>
    </w:p>
    <w:p w14:paraId="50DF7A4C" w14:textId="567DEC99" w:rsidR="0030012A" w:rsidRPr="00147A7F" w:rsidRDefault="00147A7F" w:rsidP="00147A7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</w:pP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图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3</w:t>
      </w:r>
      <w:r w:rsidRPr="00147A7F"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GST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样品的酶活力关于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pH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的变化曲线</w:t>
      </w:r>
    </w:p>
    <w:p w14:paraId="191C5C59" w14:textId="19D09331" w:rsidR="00134838" w:rsidRDefault="00134838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实验结果讨论</w:t>
      </w:r>
    </w:p>
    <w:p w14:paraId="71AB8289" w14:textId="43FC9910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三种匀浆方法的效果</w:t>
      </w:r>
    </w:p>
    <w:p w14:paraId="4C88D088" w14:textId="50F4D8F8" w:rsidR="00ED1C77" w:rsidRPr="00ED1C77" w:rsidRDefault="00ED1C77" w:rsidP="00ED1C77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电动匀浆器效果最好，玻璃匀浆器匀浆效果略差于电动匀浆器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，而生物样品均质器效果最差</w:t>
      </w:r>
      <w:r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194DF7">
        <w:rPr>
          <w:rFonts w:ascii="Times New Roman" w:eastAsia="SimSun" w:hAnsi="Times New Roman" w:cs="Times New Roman" w:hint="eastAsia"/>
          <w:szCs w:val="21"/>
          <w:lang w:val="en-US"/>
        </w:rPr>
        <w:t>生物样品均质器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制备得到的样品中仍有部分兔肝组织残块，导致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提取不充分。</w:t>
      </w:r>
    </w:p>
    <w:p w14:paraId="625255C7" w14:textId="30C8CBBC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不同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对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酶活力的影响</w:t>
      </w:r>
    </w:p>
    <w:p w14:paraId="254FD1BB" w14:textId="03F7B559" w:rsidR="005D505E" w:rsidRDefault="00475942" w:rsidP="005D505E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如图</w:t>
      </w:r>
      <w:r>
        <w:rPr>
          <w:rFonts w:ascii="Times New Roman" w:eastAsia="SimSun" w:hAnsi="Times New Roman" w:cs="Times New Roman" w:hint="eastAsia"/>
          <w:szCs w:val="21"/>
          <w:lang w:val="en-US"/>
        </w:rPr>
        <w:t>3</w:t>
      </w:r>
      <w:r>
        <w:rPr>
          <w:rFonts w:ascii="Times New Roman" w:eastAsia="SimSun" w:hAnsi="Times New Roman" w:cs="Times New Roman" w:hint="eastAsia"/>
          <w:szCs w:val="21"/>
          <w:lang w:val="en-US"/>
        </w:rPr>
        <w:t>所示，实验条件下兔肝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可能在</w:t>
      </w:r>
      <w:r w:rsidR="006F733C">
        <w:rPr>
          <w:rFonts w:ascii="Times New Roman" w:eastAsia="SimSun" w:hAnsi="Times New Roman" w:cs="Times New Roman"/>
          <w:szCs w:val="21"/>
          <w:lang w:val="en-US"/>
        </w:rPr>
        <w:t>7.5</w:t>
      </w:r>
      <w:r w:rsidR="00567185">
        <w:rPr>
          <w:rFonts w:ascii="Times New Roman" w:eastAsia="SimSun" w:hAnsi="Times New Roman" w:cs="Times New Roman" w:hint="eastAsia"/>
          <w:szCs w:val="21"/>
          <w:lang w:val="en-US"/>
        </w:rPr>
        <w:t>或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以上，当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下降到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6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酶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lastRenderedPageBreak/>
        <w:t>活力显著下降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，这表明酸性条件下兔肝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可能会部分失活。</w:t>
      </w:r>
    </w:p>
    <w:p w14:paraId="3E8F58AB" w14:textId="3BD7E11B" w:rsidR="005D505E" w:rsidRDefault="005D505E" w:rsidP="005D505E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误差分析</w:t>
      </w:r>
    </w:p>
    <w:p w14:paraId="6647EBDE" w14:textId="5C34806D" w:rsidR="005D505E" w:rsidRPr="005D505E" w:rsidRDefault="005D505E" w:rsidP="005C19F1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实验测定的</w:t>
      </w:r>
      <w:r>
        <w:rPr>
          <w:rFonts w:ascii="Times New Roman" w:eastAsia="SimSun" w:hAnsi="Times New Roman" w:cs="Times New Roman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为</w:t>
      </w:r>
      <w:r>
        <w:rPr>
          <w:rFonts w:ascii="Times New Roman" w:eastAsia="SimSun" w:hAnsi="Times New Roman" w:cs="Times New Roman" w:hint="eastAsia"/>
          <w:szCs w:val="21"/>
          <w:lang w:val="en-US"/>
        </w:rPr>
        <w:t>7</w:t>
      </w:r>
      <w:r>
        <w:rPr>
          <w:rFonts w:ascii="Times New Roman" w:eastAsia="SimSun" w:hAnsi="Times New Roman" w:cs="Times New Roman"/>
          <w:szCs w:val="21"/>
          <w:lang w:val="en-US"/>
        </w:rPr>
        <w:t>.5</w:t>
      </w:r>
      <w:r w:rsidR="00EE4B88">
        <w:rPr>
          <w:rFonts w:ascii="Times New Roman" w:eastAsia="SimSun" w:hAnsi="Times New Roman" w:cs="Times New Roman" w:hint="eastAsia"/>
          <w:szCs w:val="21"/>
          <w:lang w:val="en-US"/>
        </w:rPr>
        <w:t>或以上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，该数据</w:t>
      </w:r>
      <w:r w:rsidR="00567185">
        <w:rPr>
          <w:rFonts w:ascii="Times New Roman" w:eastAsia="SimSun" w:hAnsi="Times New Roman" w:cs="Times New Roman" w:hint="eastAsia"/>
          <w:szCs w:val="21"/>
          <w:lang w:val="en-US"/>
        </w:rPr>
        <w:t>（可能）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略高于理论值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主要原因可能为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实验过程中使用的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B969F1">
        <w:rPr>
          <w:rFonts w:ascii="Times New Roman" w:eastAsia="SimSun" w:hAnsi="Times New Roman" w:cs="Times New Roman"/>
          <w:szCs w:val="21"/>
          <w:lang w:val="en-US"/>
        </w:rPr>
        <w:t xml:space="preserve"> = 7.5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的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磷酸缓冲液</w:t>
      </w:r>
      <w:r w:rsidR="005B6433">
        <w:rPr>
          <w:rFonts w:ascii="Times New Roman" w:eastAsia="SimSun" w:hAnsi="Times New Roman" w:cs="Times New Roman" w:hint="eastAsia"/>
          <w:szCs w:val="21"/>
          <w:lang w:val="en-US"/>
        </w:rPr>
        <w:t>与真实值相比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偏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高</w:t>
      </w:r>
      <w:r w:rsidR="001B71EF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通过数据拟合得到的切线斜率也存在一定误差，这可能是</w:t>
      </w:r>
      <w:r w:rsidR="00BB772F">
        <w:rPr>
          <w:rFonts w:ascii="Times New Roman" w:eastAsia="SimSun" w:hAnsi="Times New Roman" w:cs="Times New Roman"/>
          <w:szCs w:val="21"/>
          <w:lang w:val="en-US"/>
        </w:rPr>
        <w:t>pH = 7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 w:rsidR="00C06DE2">
        <w:rPr>
          <w:rFonts w:ascii="Times New Roman" w:eastAsia="SimSun" w:hAnsi="Times New Roman" w:cs="Times New Roman" w:hint="eastAsia"/>
          <w:szCs w:val="21"/>
          <w:lang w:val="en-US"/>
        </w:rPr>
        <w:t>计算得到的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酶活力</w:t>
      </w:r>
      <w:r w:rsidR="00C06DE2">
        <w:rPr>
          <w:rFonts w:ascii="Times New Roman" w:eastAsia="SimSun" w:hAnsi="Times New Roman" w:cs="Times New Roman" w:hint="eastAsia"/>
          <w:szCs w:val="21"/>
          <w:lang w:val="en-US"/>
        </w:rPr>
        <w:t>与</w:t>
      </w:r>
      <w:r w:rsidR="00C06DE2">
        <w:rPr>
          <w:rFonts w:ascii="Times New Roman" w:eastAsia="SimSun" w:hAnsi="Times New Roman" w:cs="Times New Roman"/>
          <w:szCs w:val="21"/>
          <w:lang w:val="en-US"/>
        </w:rPr>
        <w:t>pH = 6</w:t>
      </w:r>
      <w:r w:rsidR="00C06DE2">
        <w:rPr>
          <w:rFonts w:ascii="Times New Roman" w:eastAsia="SimSun" w:hAnsi="Times New Roman" w:cs="Times New Roman" w:hint="eastAsia"/>
          <w:szCs w:val="21"/>
          <w:lang w:val="en-US"/>
        </w:rPr>
        <w:t>时相比</w:t>
      </w:r>
      <w:r w:rsidR="00BB772F">
        <w:rPr>
          <w:rFonts w:ascii="Times New Roman" w:eastAsia="SimSun" w:hAnsi="Times New Roman" w:cs="Times New Roman" w:hint="eastAsia"/>
          <w:szCs w:val="21"/>
          <w:lang w:val="en-US"/>
        </w:rPr>
        <w:t>稍有下降的原因之一。</w:t>
      </w:r>
    </w:p>
    <w:sectPr w:rsidR="005D505E" w:rsidRPr="005D50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07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6"/>
    <w:rsid w:val="000760F6"/>
    <w:rsid w:val="00090B35"/>
    <w:rsid w:val="000A6B1F"/>
    <w:rsid w:val="000B35CE"/>
    <w:rsid w:val="000B4388"/>
    <w:rsid w:val="00120AD4"/>
    <w:rsid w:val="00121163"/>
    <w:rsid w:val="00134838"/>
    <w:rsid w:val="00147A7F"/>
    <w:rsid w:val="001616F0"/>
    <w:rsid w:val="00171A0D"/>
    <w:rsid w:val="001946F6"/>
    <w:rsid w:val="00194DF7"/>
    <w:rsid w:val="00196667"/>
    <w:rsid w:val="001B71EF"/>
    <w:rsid w:val="001C133C"/>
    <w:rsid w:val="001C32D1"/>
    <w:rsid w:val="001C5C3B"/>
    <w:rsid w:val="001D4248"/>
    <w:rsid w:val="001F5238"/>
    <w:rsid w:val="001F6BF4"/>
    <w:rsid w:val="001F7888"/>
    <w:rsid w:val="002343B2"/>
    <w:rsid w:val="00236DF4"/>
    <w:rsid w:val="00257D66"/>
    <w:rsid w:val="00265EB9"/>
    <w:rsid w:val="00283900"/>
    <w:rsid w:val="002A14B4"/>
    <w:rsid w:val="0030012A"/>
    <w:rsid w:val="00304910"/>
    <w:rsid w:val="0031434E"/>
    <w:rsid w:val="003168DB"/>
    <w:rsid w:val="00344E55"/>
    <w:rsid w:val="003B1F57"/>
    <w:rsid w:val="003F50DF"/>
    <w:rsid w:val="004355E0"/>
    <w:rsid w:val="00444EC6"/>
    <w:rsid w:val="004461E2"/>
    <w:rsid w:val="00475942"/>
    <w:rsid w:val="004872DA"/>
    <w:rsid w:val="004D0976"/>
    <w:rsid w:val="00505C6C"/>
    <w:rsid w:val="00553EFF"/>
    <w:rsid w:val="00564710"/>
    <w:rsid w:val="00567185"/>
    <w:rsid w:val="0057641E"/>
    <w:rsid w:val="00586C1C"/>
    <w:rsid w:val="00587C21"/>
    <w:rsid w:val="00597ABA"/>
    <w:rsid w:val="005B3019"/>
    <w:rsid w:val="005B6433"/>
    <w:rsid w:val="005C19F1"/>
    <w:rsid w:val="005D505E"/>
    <w:rsid w:val="005D5EB1"/>
    <w:rsid w:val="005E7F04"/>
    <w:rsid w:val="006078A7"/>
    <w:rsid w:val="006321DE"/>
    <w:rsid w:val="006338DF"/>
    <w:rsid w:val="00661460"/>
    <w:rsid w:val="00670AB9"/>
    <w:rsid w:val="00673512"/>
    <w:rsid w:val="0067429A"/>
    <w:rsid w:val="006C3E00"/>
    <w:rsid w:val="006D4BC1"/>
    <w:rsid w:val="006E48DA"/>
    <w:rsid w:val="006F733C"/>
    <w:rsid w:val="00723A6A"/>
    <w:rsid w:val="00746EBB"/>
    <w:rsid w:val="00783908"/>
    <w:rsid w:val="0078607E"/>
    <w:rsid w:val="007872BC"/>
    <w:rsid w:val="007A3906"/>
    <w:rsid w:val="007D658B"/>
    <w:rsid w:val="007F024C"/>
    <w:rsid w:val="00804C75"/>
    <w:rsid w:val="00822DD4"/>
    <w:rsid w:val="00826DA6"/>
    <w:rsid w:val="00835901"/>
    <w:rsid w:val="008473B5"/>
    <w:rsid w:val="00855647"/>
    <w:rsid w:val="008921F9"/>
    <w:rsid w:val="008A741E"/>
    <w:rsid w:val="008C2933"/>
    <w:rsid w:val="008C703F"/>
    <w:rsid w:val="0090060D"/>
    <w:rsid w:val="00906957"/>
    <w:rsid w:val="00936F98"/>
    <w:rsid w:val="009439A2"/>
    <w:rsid w:val="00944126"/>
    <w:rsid w:val="009544C9"/>
    <w:rsid w:val="009576DA"/>
    <w:rsid w:val="009A37D6"/>
    <w:rsid w:val="009C2A48"/>
    <w:rsid w:val="009C2F19"/>
    <w:rsid w:val="009C75EF"/>
    <w:rsid w:val="009D162A"/>
    <w:rsid w:val="009F1B77"/>
    <w:rsid w:val="00A176B4"/>
    <w:rsid w:val="00A25BDA"/>
    <w:rsid w:val="00A27F42"/>
    <w:rsid w:val="00A727CE"/>
    <w:rsid w:val="00A74410"/>
    <w:rsid w:val="00A96A4B"/>
    <w:rsid w:val="00AF2AB1"/>
    <w:rsid w:val="00AF4F61"/>
    <w:rsid w:val="00B17E9F"/>
    <w:rsid w:val="00B4378E"/>
    <w:rsid w:val="00B625EF"/>
    <w:rsid w:val="00B81DCE"/>
    <w:rsid w:val="00B951F3"/>
    <w:rsid w:val="00B969F1"/>
    <w:rsid w:val="00BB772F"/>
    <w:rsid w:val="00BC5D63"/>
    <w:rsid w:val="00BE0EC1"/>
    <w:rsid w:val="00C06DE2"/>
    <w:rsid w:val="00C07F50"/>
    <w:rsid w:val="00C1579B"/>
    <w:rsid w:val="00C2151E"/>
    <w:rsid w:val="00C33974"/>
    <w:rsid w:val="00C6301B"/>
    <w:rsid w:val="00C63814"/>
    <w:rsid w:val="00CA1D90"/>
    <w:rsid w:val="00CA51D8"/>
    <w:rsid w:val="00CD55CD"/>
    <w:rsid w:val="00D16BD3"/>
    <w:rsid w:val="00D21F91"/>
    <w:rsid w:val="00D63828"/>
    <w:rsid w:val="00D71207"/>
    <w:rsid w:val="00D90D2C"/>
    <w:rsid w:val="00D90F78"/>
    <w:rsid w:val="00D9731E"/>
    <w:rsid w:val="00E21BE8"/>
    <w:rsid w:val="00E32AB5"/>
    <w:rsid w:val="00E64EBF"/>
    <w:rsid w:val="00E80AC2"/>
    <w:rsid w:val="00E87A7E"/>
    <w:rsid w:val="00EC1CD7"/>
    <w:rsid w:val="00ED1C77"/>
    <w:rsid w:val="00EE4B88"/>
    <w:rsid w:val="00EF7A48"/>
    <w:rsid w:val="00F037B1"/>
    <w:rsid w:val="00F131B7"/>
    <w:rsid w:val="00F429E3"/>
    <w:rsid w:val="00F62637"/>
    <w:rsid w:val="00F66868"/>
    <w:rsid w:val="00F71B2B"/>
    <w:rsid w:val="00F82D21"/>
    <w:rsid w:val="00F8662E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234D"/>
  <w15:chartTrackingRefBased/>
  <w15:docId w15:val="{066CEE36-8366-DD46-8F41-650FEA96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C9"/>
    <w:pPr>
      <w:ind w:firstLineChars="200" w:firstLine="420"/>
    </w:pPr>
  </w:style>
  <w:style w:type="table" w:styleId="TableGrid">
    <w:name w:val="Table Grid"/>
    <w:basedOn w:val="TableNormal"/>
    <w:uiPriority w:val="39"/>
    <w:rsid w:val="00D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120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2151E"/>
    <w:rPr>
      <w:color w:val="808080"/>
    </w:rPr>
  </w:style>
  <w:style w:type="table" w:styleId="TableGridLight">
    <w:name w:val="Grid Table Light"/>
    <w:basedOn w:val="TableNormal"/>
    <w:uiPriority w:val="40"/>
    <w:rsid w:val="00746E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3</cp:revision>
  <cp:lastPrinted>2024-10-10T03:39:00Z</cp:lastPrinted>
  <dcterms:created xsi:type="dcterms:W3CDTF">2024-10-10T03:39:00Z</dcterms:created>
  <dcterms:modified xsi:type="dcterms:W3CDTF">2024-10-10T03:39:00Z</dcterms:modified>
</cp:coreProperties>
</file>