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svg="http://schemas.microsoft.com/office/drawing/2016/SVG/main"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Bdr/>
        <w:ind w:left="0"/>
        <w:rPr>
          <w:sz w:val="20"/>
        </w:rPr>
      </w:pPr>
      <w:r>
        <w:rPr>
          <w:sz w:val="20"/>
        </w:rPr>
        <w:t>姓名：__________________    学号：_____________________</w:t>
      </w:r>
    </w:p>
    <w:p>
      <w:pPr>
        <w:pBdr/>
        <w:ind w:left="336"/>
        <w:rPr>
          <w:sz w:val="20"/>
        </w:rPr>
      </w:pPr>
    </w:p>
    <w:p>
      <w:pPr>
        <w:pBdr/>
        <w:ind w:left="0"/>
        <w:rPr>
          <w:sz w:val="20"/>
        </w:rPr>
      </w:pPr>
      <w:r>
        <w:rPr>
          <w:sz w:val="20"/>
        </w:rPr>
        <w:t>1.（单选）以下哪个说法是</w:t>
      </w:r>
      <w:r>
        <w:rPr>
          <w:b/>
          <w:sz w:val="20"/>
        </w:rPr>
        <w:t>错误</w:t>
      </w:r>
      <w:r>
        <w:rPr>
          <w:sz w:val="20"/>
        </w:rPr>
        <w:t>的：</w:t>
      </w:r>
      <w:r>
        <w:rPr>
          <w:sz w:val="20"/>
        </w:rPr>
        <w:t xml:space="preserve"> </w:t>
      </w:r>
      <w:r>
        <w:rPr>
          <w:color w:val="FF0000"/>
          <w:sz w:val="20"/>
        </w:rPr>
        <w:t>B</w:t>
      </w:r>
    </w:p>
    <w:p>
      <w:pPr>
        <w:numPr>
          <w:ilvl w:val="0"/>
          <w:numId w:val="1"/>
        </w:numPr>
        <w:pBdr/>
        <w:ind/>
        <w:rPr>
          <w:sz w:val="20"/>
        </w:rPr>
      </w:pPr>
      <w:r>
        <w:rPr>
          <w:sz w:val="20"/>
        </w:rPr>
        <w:t>RISC-V的指令长度是固定的 B. 在RISC-V中，一个word是2 byte</w:t>
      </w:r>
    </w:p>
    <w:p>
      <w:pPr>
        <w:numPr>
          <w:ilvl w:val="0"/>
          <w:numId w:val="2"/>
        </w:numPr>
        <w:pBdr>
          <w:bottom/>
        </w:pBdr>
        <w:ind/>
        <w:rPr>
          <w:sz w:val="20"/>
        </w:rPr>
      </w:pPr>
      <w:r>
        <w:rPr>
          <w:sz w:val="20"/>
        </w:rPr>
        <w:t>RISC-V</w:t>
      </w:r>
      <w:r>
        <w:rPr>
          <w:sz w:val="20"/>
        </w:rPr>
        <w:t>一般</w:t>
      </w:r>
      <w:r>
        <w:rPr>
          <w:sz w:val="20"/>
        </w:rPr>
        <w:t>使用小端序 D. RISC-V的访存模式相较于x86更有限</w:t>
      </w:r>
    </w:p>
    <w:p>
      <w:pPr>
        <w:pBdr/>
        <w:ind w:left="0"/>
        <w:rPr>
          <w:color w:val="FF0000"/>
          <w:sz w:val="20"/>
        </w:rPr>
      </w:pPr>
      <w:r>
        <w:rPr>
          <w:color w:val="FF0000"/>
          <w:sz w:val="20"/>
        </w:rPr>
        <w:t>4 bytes.</w:t>
      </w:r>
    </w:p>
    <w:p>
      <w:pPr>
        <w:pBdr/>
        <w:ind w:left="0"/>
        <w:rPr>
          <w:sz w:val="20"/>
        </w:rPr>
      </w:pPr>
    </w:p>
    <w:p>
      <w:pPr>
        <w:pBdr/>
        <w:ind w:left="0"/>
        <w:rPr>
          <w:sz w:val="20"/>
        </w:rPr>
      </w:pPr>
      <w:r>
        <w:rPr>
          <w:sz w:val="20"/>
        </w:rPr>
        <w:t>2. 对程序中运行时间占比60%的部分进行优化，使该部分性能提升50%，那么整体性能提升___</w:t>
      </w:r>
      <w:r>
        <w:rPr>
          <w:color w:val="FF0000"/>
          <w:sz w:val="20"/>
        </w:rPr>
        <w:t>25</w:t>
      </w:r>
      <w:r>
        <w:rPr>
          <w:sz w:val="20"/>
        </w:rPr>
        <w:t>__%</w:t>
      </w:r>
    </w:p>
    <w:p>
      <w:pPr>
        <w:pBdr/>
        <w:ind w:left="0"/>
        <w:rPr>
          <w:sz w:val="20"/>
        </w:rPr>
      </w:pPr>
      <w:r>
        <w:rPr>
          <w:color w:val="FF0000"/>
          <w:sz w:val="20"/>
        </w:rPr>
        <w:t>Amdahl's Law.</w:t>
      </w:r>
      <w:r>
        <w:rPr>
          <w:sz w:val="20"/>
        </w:rPr>
        <w:t xml:space="preserve"> </w:t>
      </w:r>
    </w:p>
    <w:p>
      <w:pPr>
        <w:pBdr/>
        <w:ind w:left="0"/>
        <w:rPr>
          <w:sz w:val="20"/>
        </w:rPr>
      </w:pPr>
      <w:r>
        <w:rPr>
          <w:sz w:val="20"/>
        </w:rPr>
        <w:drawing>
          <wp:inline distT="0" distB="0" distL="0" distR="0">
            <wp:extent cx="4657725" cy="53743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>
                      <a:extLst>
                        <a:ext uri="{96DAC541-7B7A-43D3-8B79-37D633B846F1}">
                          <asvg:svgBlip r:embed="rId5"/>
                        </a:ext>
                      </a:extLst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4657725" cy="5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/>
        </w:pBdr>
        <w:ind w:left="0"/>
        <w:rPr>
          <w:sz w:val="20"/>
        </w:rPr>
      </w:pPr>
    </w:p>
    <w:p>
      <w:pPr>
        <w:pBdr/>
        <w:snapToGrid/>
        <w:spacing w:line="312"/>
        <w:ind w:left="0"/>
        <w:rPr>
          <w:i w:val="false"/>
          <w:strike w:val="false"/>
          <w:spacing w:val="0"/>
          <w:sz w:val="20"/>
          <w:u w:val="none"/>
        </w:rPr>
      </w:pPr>
      <w:r>
        <w:rPr>
          <w:i w:val="false"/>
          <w:strike w:val="false"/>
          <w:spacing w:val="0"/>
          <w:sz w:val="20"/>
          <w:u w:val="none"/>
        </w:rPr>
        <w:t xml:space="preserve">3. 假设有一个处理器，它在执行一个包含加载（Load）、存储（Store）、算术逻辑（ALU）和分支（Branch）四种类型指令的程序。每种类型的指令在程序中的比例和 </w:t>
      </w:r>
      <w:r>
        <w:rPr>
          <w:b/>
          <w:i w:val="false"/>
          <w:strike w:val="false"/>
          <w:spacing w:val="0"/>
          <w:sz w:val="20"/>
          <w:u w:val="none"/>
        </w:rPr>
        <w:t>CPI</w:t>
      </w:r>
      <w:r>
        <w:rPr>
          <w:i w:val="false"/>
          <w:strike w:val="false"/>
          <w:spacing w:val="0"/>
          <w:sz w:val="20"/>
          <w:u w:val="none"/>
        </w:rPr>
        <w:t xml:space="preserve"> 如下表所示：</w:t>
      </w:r>
    </w:p>
    <w:tbl>
      <w:tblPr>
        <w:tblStyle w:val="tyz6zc"/>
        <w:tblLayout w:type="fixed"/>
      </w:tblPr>
      <w:tblGrid>
        <w:gridCol w:w="3015"/>
        <w:gridCol w:w="3015"/>
        <w:gridCol w:w="3015"/>
      </w:tblGrid>
      <w:tr>
        <w:trPr>
          <w:trHeight/>
        </w:trPr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Op</w:t>
            </w:r>
          </w:p>
        </w:tc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Freq</w:t>
            </w:r>
          </w:p>
        </w:tc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CPI</w:t>
            </w:r>
          </w:p>
        </w:tc>
      </w:tr>
      <w:tr>
        <w:trPr>
          <w:trHeight/>
        </w:trPr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Load</w:t>
            </w:r>
          </w:p>
        </w:tc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50%</w:t>
            </w:r>
          </w:p>
        </w:tc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/>
        </w:trPr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Store</w:t>
            </w:r>
          </w:p>
        </w:tc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/>
        </w:trPr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ALU</w:t>
            </w:r>
          </w:p>
        </w:tc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/>
        </w:trPr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Branch</w:t>
            </w:r>
          </w:p>
        </w:tc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  <w:tc>
          <w:tcPr>
            <w:tcW w:w="3015" w:type="dxa"/>
          </w:tcPr>
          <w:p>
            <w:pPr>
              <w:snapToGrid/>
              <w:spacing w:line="24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>
      <w:pPr>
        <w:pBdr/>
        <w:snapToGrid/>
        <w:spacing w:line="240"/>
        <w:ind w:left="0"/>
        <w:rPr>
          <w:sz w:val="20"/>
        </w:rPr>
      </w:pPr>
    </w:p>
    <w:p>
      <w:pPr>
        <w:pBdr/>
        <w:snapToGrid/>
        <w:spacing w:line="240"/>
        <w:ind w:left="0"/>
        <w:rPr>
          <w:b w:val="false"/>
          <w:sz w:val="20"/>
        </w:rPr>
      </w:pPr>
      <w:r>
        <w:rPr>
          <w:sz w:val="20"/>
        </w:rPr>
        <w:t xml:space="preserve">程序的average </w:t>
      </w:r>
      <w:r>
        <w:rPr>
          <w:b/>
          <w:sz w:val="20"/>
        </w:rPr>
        <w:t>IPC</w:t>
      </w:r>
      <w:r>
        <w:rPr>
          <w:b w:val="false"/>
          <w:sz w:val="20"/>
        </w:rPr>
        <w:t>为___</w:t>
      </w:r>
      <w:r>
        <w:rPr>
          <w:b w:val="false"/>
          <w:color w:val="FF0000"/>
          <w:sz w:val="20"/>
        </w:rPr>
        <w:t>5/11</w:t>
      </w:r>
      <w:r>
        <w:rPr>
          <w:b w:val="false"/>
          <w:sz w:val="20"/>
        </w:rPr>
        <w:t>___（用</w:t>
      </w:r>
      <w:r>
        <w:rPr>
          <w:b w:val="false"/>
          <w:sz w:val="20"/>
        </w:rPr>
        <w:t>最简</w:t>
      </w:r>
      <w:r>
        <w:rPr>
          <w:b w:val="false"/>
          <w:sz w:val="20"/>
        </w:rPr>
        <w:t>分数表示）</w:t>
      </w:r>
    </w:p>
    <w:p>
      <w:pPr>
        <w:pBdr/>
        <w:snapToGrid/>
        <w:spacing w:line="240"/>
        <w:ind w:left="0"/>
        <w:rPr>
          <w:b w:val="false"/>
          <w:sz w:val="20"/>
        </w:rPr>
      </w:pPr>
      <w:r>
        <w:rPr>
          <w:b w:val="false"/>
          <w:sz w:val="20"/>
        </w:rPr>
        <w:drawing>
          <wp:inline distT="0" distB="0" distL="0" distR="0">
            <wp:extent cx="4533900" cy="39052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>
                      <a:extLst>
                        <a:ext uri="{96DAC541-7B7A-43D3-8B79-37D633B846F1}">
                          <asvg:svgBlip r:embed="rId7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453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/>
        <w:ind w:left="0"/>
        <w:rPr>
          <w:sz w:val="20"/>
        </w:rPr>
      </w:pPr>
    </w:p>
    <w:p>
      <w:pPr>
        <w:pBdr/>
        <w:ind w:left="0"/>
        <w:rPr>
          <w:sz w:val="20"/>
        </w:rPr>
      </w:pPr>
    </w:p>
    <w:p>
      <w:pPr>
        <w:pBdr/>
        <w:ind w:left="0"/>
        <w:rPr>
          <w:sz w:val="20"/>
        </w:rPr>
      </w:pPr>
      <w:r>
        <w:rPr>
          <w:sz w:val="20"/>
        </w:rPr>
        <w:t>4. 请填写寄存器名称和指令名称，完善以下RISC-V程序填空。（注：sc.d在成功时将rd置0）</w:t>
      </w:r>
    </w:p>
    <w:p>
      <w:pPr>
        <w:pBdr/>
        <w:spacing w:line="276"/>
        <w:ind w:left="0"/>
        <w:rPr>
          <w:sz w:val="20"/>
        </w:rPr>
      </w:pPr>
      <w:r>
        <w:rPr>
          <w:sz w:val="20"/>
        </w:rPr>
        <w:t># Atomic exchange between (___</w:t>
      </w:r>
      <w:r>
        <w:rPr>
          <w:color w:val="FF0000"/>
          <w:sz w:val="20"/>
        </w:rPr>
        <w:t>x20</w:t>
      </w:r>
      <w:r>
        <w:rPr>
          <w:sz w:val="20"/>
        </w:rPr>
        <w:t>___) and x23</w:t>
      </w:r>
    </w:p>
    <w:p>
      <w:pPr>
        <w:pBdr/>
        <w:spacing w:line="276"/>
        <w:ind w:left="0"/>
        <w:rPr>
          <w:sz w:val="20"/>
        </w:rPr>
      </w:pPr>
      <w:r>
        <w:rPr>
          <w:sz w:val="20"/>
        </w:rPr>
        <w:t>again: lr.d x10, (x20)</w:t>
      </w:r>
    </w:p>
    <w:p>
      <w:pPr>
        <w:pBdr/>
        <w:spacing w:line="276"/>
        <w:ind w:left="0"/>
        <w:rPr>
          <w:sz w:val="20"/>
        </w:rPr>
      </w:pPr>
      <w:r>
        <w:rPr>
          <w:sz w:val="20"/>
        </w:rPr>
        <w:t>sc.d ___</w:t>
      </w:r>
      <w:r>
        <w:rPr>
          <w:color w:val="FF0000"/>
          <w:sz w:val="20"/>
        </w:rPr>
        <w:t>x11</w:t>
      </w:r>
      <w:r>
        <w:rPr>
          <w:sz w:val="20"/>
        </w:rPr>
        <w:t>____, ___</w:t>
      </w:r>
      <w:r>
        <w:rPr>
          <w:color w:val="FF0000"/>
          <w:sz w:val="20"/>
        </w:rPr>
        <w:t>x23</w:t>
      </w:r>
      <w:r>
        <w:rPr>
          <w:sz w:val="20"/>
        </w:rPr>
        <w:t>____, (x20)</w:t>
      </w:r>
    </w:p>
    <w:p>
      <w:pPr>
        <w:pBdr/>
        <w:spacing w:line="276"/>
        <w:ind w:left="0"/>
        <w:rPr>
          <w:sz w:val="20"/>
        </w:rPr>
      </w:pPr>
      <w:r>
        <w:rPr>
          <w:sz w:val="20"/>
        </w:rPr>
        <w:t>____</w:t>
      </w:r>
      <w:r>
        <w:rPr>
          <w:color w:val="FF0000"/>
          <w:sz w:val="20"/>
        </w:rPr>
        <w:t>bne</w:t>
      </w:r>
      <w:r>
        <w:rPr>
          <w:sz w:val="20"/>
        </w:rPr>
        <w:t>____ x11, x0, again</w:t>
      </w:r>
    </w:p>
    <w:p>
      <w:pPr>
        <w:pBdr/>
        <w:spacing w:line="276"/>
        <w:ind w:left="0"/>
        <w:rPr>
          <w:sz w:val="20"/>
        </w:rPr>
      </w:pPr>
      <w:r>
        <w:rPr>
          <w:sz w:val="20"/>
        </w:rPr>
        <w:t>addi x23, x10, 0</w:t>
      </w:r>
    </w:p>
    <w:p>
      <w:pPr>
        <w:pBdr/>
        <w:spacing w:line="276"/>
        <w:ind w:left="0"/>
        <w:rPr>
          <w:color w:val="FF0000"/>
          <w:sz w:val="20"/>
        </w:rPr>
      </w:pPr>
      <w:r>
        <w:rPr>
          <w:color w:val="FF0000"/>
          <w:sz w:val="20"/>
        </w:rPr>
        <w:t>参考</w:t>
      </w:r>
      <w:r>
        <w:rPr>
          <w:color w:val="FF0000"/>
          <w:sz w:val="20"/>
        </w:rPr>
        <w:t>Slide 66, Lecture 2.</w:t>
      </w:r>
    </w:p>
    <w:p>
      <w:pPr>
        <w:pBdr/>
        <w:spacing w:line="276"/>
        <w:ind w:left="0"/>
        <w:rPr>
          <w:sz w:val="20"/>
        </w:rPr>
      </w:pPr>
    </w:p>
    <w:p>
      <w:pPr>
        <w:pBdr/>
        <w:spacing w:line="276"/>
        <w:ind w:left="0"/>
        <w:rPr>
          <w:sz w:val="20"/>
        </w:rPr>
      </w:pPr>
      <w:r>
        <w:rPr>
          <w:sz w:val="20"/>
        </w:rPr>
        <w:t>5. 假设一条指令的执行中，五个阶段分别需要用1.0ns，0.6ns，0.9ns，1.2ns，0.4ns。请分别计算在单周期和五阶段流水线处理器中，单条指令执行的延迟和指令的吞吐量。（忽略中间寄存器延时）</w:t>
      </w:r>
    </w:p>
    <w:p>
      <w:pPr>
        <w:pBdr/>
        <w:spacing w:line="276"/>
        <w:ind w:left="0"/>
        <w:rPr>
          <w:sz w:val="20"/>
        </w:rPr>
      </w:pPr>
    </w:p>
    <w:p>
      <w:pPr>
        <w:pBdr/>
        <w:spacing w:line="276"/>
        <w:ind w:left="0"/>
        <w:rPr>
          <w:color w:val="FF0000"/>
          <w:sz w:val="20"/>
        </w:rPr>
      </w:pPr>
      <w:r>
        <w:rPr>
          <w:color w:val="FF0000"/>
          <w:sz w:val="20"/>
        </w:rPr>
        <w:t>单周期处理器:</w:t>
      </w:r>
    </w:p>
    <w:p>
      <w:pPr>
        <w:pBdr/>
        <w:spacing w:line="276"/>
        <w:ind w:left="0"/>
        <w:rPr>
          <w:sz w:val="20"/>
        </w:rPr>
      </w:pPr>
      <w:r>
        <w:rPr>
          <w:sz w:val="20"/>
        </w:rPr>
        <w:drawing>
          <wp:inline distT="0" distB="0" distL="0" distR="0">
            <wp:extent cx="3429000" cy="152400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8">
                      <a:extLst>
                        <a:ext uri="{96DAC541-7B7A-43D3-8B79-37D633B846F1}">
                          <asvg:svgBlip r:embed="rId9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429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>
          <w:bottom/>
        </w:pBdr>
        <w:spacing w:line="276"/>
        <w:ind w:left="0"/>
        <w:rPr>
          <w:sz w:val="20"/>
        </w:rPr>
      </w:pPr>
      <w:r>
        <w:rPr>
          <w:sz w:val="20"/>
        </w:rPr>
        <w:drawing>
          <wp:inline distT="0" distB="0" distL="0" distR="0">
            <wp:extent cx="2990850" cy="34290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10">
                      <a:extLst>
                        <a:ext uri="{96DAC541-7B7A-43D3-8B79-37D633B846F1}">
                          <asvg:svgBlip r:embed="rId11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990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276"/>
        <w:ind w:left="0"/>
        <w:rPr>
          <w:color w:val="FF0000"/>
          <w:sz w:val="20"/>
        </w:rPr>
      </w:pPr>
      <w:r>
        <w:rPr>
          <w:color w:val="FF0000"/>
          <w:sz w:val="20"/>
        </w:rPr>
        <w:t>五阶段流水线处理器:</w:t>
      </w:r>
    </w:p>
    <w:p>
      <w:pPr>
        <w:numPr/>
        <w:pBdr/>
        <w:spacing w:line="276"/>
        <w:ind w:left="0"/>
        <w:rPr>
          <w:sz w:val="20"/>
        </w:rPr>
      </w:pPr>
      <w:r>
        <w:rPr>
          <w:sz w:val="20"/>
        </w:rPr>
        <w:drawing>
          <wp:inline distT="0" distB="0" distL="0" distR="0">
            <wp:extent cx="1866900" cy="152400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12">
                      <a:extLst>
                        <a:ext uri="{96DAC541-7B7A-43D3-8B79-37D633B846F1}">
                          <asvg:svgBlip r:embed="rId13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866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>
          <w:bottom/>
        </w:pBdr>
        <w:spacing w:line="276"/>
        <w:ind w:left="0"/>
        <w:rPr>
          <w:sz w:val="20"/>
        </w:rPr>
      </w:pPr>
      <w:r>
        <w:rPr>
          <w:sz w:val="20"/>
        </w:rPr>
        <w:drawing>
          <wp:inline distT="0" distB="0" distL="0" distR="0">
            <wp:extent cx="2990850" cy="34290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14">
                      <a:extLst>
                        <a:ext uri="{96DAC541-7B7A-43D3-8B79-37D633B846F1}">
                          <asvg:svgBlip r:embed="rId15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990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upperLetter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3"/>
      <w:numFmt w:val="upperLetter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upperLetter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2">
    <w:lvl w:ilvl="3">
      <w:start w:val="1"/>
      <w:numFmt w:val="upperLetter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upperLetter"/>
      <w:lvlText w:val="%7."/>
      <w:lvlJc w:val="left"/>
      <w:pPr>
        <w:ind w:left="2976" w:hanging="336"/>
      </w:pPr>
    </w:lvl>
    <w:lvl w:ilvl="0">
      <w:start w:val="1"/>
      <w:numFmt w:val="upperLetter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1ticpf">
    <w:name w:val="heading 4"/>
    <w:basedOn w:val="shjalb"/>
    <w:next w:val="shjalb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table" w:styleId="callar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table" w:styleId="tyz6zc">
    <w:name w:val="Table Grid"/>
    <w:basedOn w:val="callar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q5nmw6">
    <w:name w:val="heading 4"/>
    <w:basedOn w:val="shjalb"/>
    <w:next w:val="shjalb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znyks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2.svg" /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4" Type="http://schemas.openxmlformats.org/officeDocument/2006/relationships/image" Target="media/image11.png" /><Relationship Id="rId4" Type="http://schemas.openxmlformats.org/officeDocument/2006/relationships/image" Target="media/image1.png" /><Relationship Id="rId1" Type="http://schemas.openxmlformats.org/officeDocument/2006/relationships/settings" Target="settings.xml" /><Relationship Id="rId7" Type="http://schemas.openxmlformats.org/officeDocument/2006/relationships/image" Target="media/image4.svg" /><Relationship Id="rId0" Type="http://schemas.openxmlformats.org/officeDocument/2006/relationships/styles" Target="styles.xml" /><Relationship Id="rId9" Type="http://schemas.openxmlformats.org/officeDocument/2006/relationships/image" Target="media/image6.svg" /><Relationship Id="rId6" Type="http://schemas.openxmlformats.org/officeDocument/2006/relationships/image" Target="media/image3.png" /><Relationship Id="rId10" Type="http://schemas.openxmlformats.org/officeDocument/2006/relationships/image" Target="media/image7.png" /><Relationship Id="rId11" Type="http://schemas.openxmlformats.org/officeDocument/2006/relationships/image" Target="media/image8.svg" /><Relationship Id="rId12" Type="http://schemas.openxmlformats.org/officeDocument/2006/relationships/image" Target="media/image9.png" /><Relationship Id="rId8" Type="http://schemas.openxmlformats.org/officeDocument/2006/relationships/image" Target="media/image5.png" /><Relationship Id="rId15" Type="http://schemas.openxmlformats.org/officeDocument/2006/relationships/image" Target="media/image12.svg" /><Relationship Id="rId13" Type="http://schemas.openxmlformats.org/officeDocument/2006/relationships/image" Target="media/image10.sv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2024-10-17T22:38:37Z</dcterms:created>
  <dcterms:modified xsi:type="dcterms:W3CDTF">2024-10-17T22:38:37Z</dcterms:modified>
</cp:coreProperties>
</file>