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F641" w14:textId="518E3D10" w:rsidR="006B412F" w:rsidRPr="006B412F" w:rsidRDefault="006B412F" w:rsidP="006B412F">
      <w:pPr>
        <w:ind w:left="420" w:hanging="420"/>
        <w:jc w:val="center"/>
        <w:rPr>
          <w:rFonts w:hint="eastAsia"/>
          <w:sz w:val="28"/>
          <w:szCs w:val="28"/>
        </w:rPr>
      </w:pPr>
      <w:r w:rsidRPr="006B412F">
        <w:rPr>
          <w:rFonts w:hint="eastAsia"/>
          <w:sz w:val="28"/>
          <w:szCs w:val="28"/>
        </w:rPr>
        <w:t>微生物减肥存在的问题</w:t>
      </w:r>
    </w:p>
    <w:p w14:paraId="4FF01AF2" w14:textId="77777777" w:rsidR="006B412F" w:rsidRDefault="006B412F" w:rsidP="006B412F">
      <w:pPr>
        <w:pStyle w:val="a9"/>
        <w:ind w:left="420"/>
        <w:rPr>
          <w:rFonts w:hint="eastAsia"/>
        </w:rPr>
      </w:pPr>
    </w:p>
    <w:p w14:paraId="09BCE591" w14:textId="2F8D0470" w:rsidR="0084403C" w:rsidRPr="00AD0EF3" w:rsidRDefault="0084403C" w:rsidP="006B412F">
      <w:pPr>
        <w:pStyle w:val="a9"/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color w:val="C00000"/>
          <w:sz w:val="24"/>
          <w:szCs w:val="24"/>
        </w:rPr>
        <w:t>科学证据不足：</w:t>
      </w:r>
      <w:r w:rsidRPr="00AD0EF3">
        <w:rPr>
          <w:rFonts w:ascii="宋体" w:eastAsia="宋体" w:hAnsi="宋体"/>
          <w:szCs w:val="21"/>
        </w:rPr>
        <w:t xml:space="preserve"> </w:t>
      </w:r>
    </w:p>
    <w:p w14:paraId="4EA2298E" w14:textId="09A80C00" w:rsidR="0084403C" w:rsidRPr="00AD0EF3" w:rsidRDefault="0084403C" w:rsidP="0084403C">
      <w:pPr>
        <w:pStyle w:val="a9"/>
        <w:numPr>
          <w:ilvl w:val="0"/>
          <w:numId w:val="2"/>
        </w:numPr>
        <w:rPr>
          <w:rFonts w:ascii="宋体" w:eastAsia="宋体" w:hAnsi="宋体" w:hint="eastAsia"/>
          <w:color w:val="00B0F0"/>
          <w:szCs w:val="21"/>
        </w:rPr>
      </w:pPr>
      <w:r w:rsidRPr="00AD0EF3">
        <w:rPr>
          <w:rFonts w:ascii="宋体" w:eastAsia="宋体" w:hAnsi="宋体"/>
          <w:color w:val="00B0F0"/>
          <w:szCs w:val="21"/>
        </w:rPr>
        <w:t xml:space="preserve">因果关系尚未明确 </w:t>
      </w:r>
    </w:p>
    <w:p w14:paraId="3E211C14" w14:textId="7D7C7FD9" w:rsidR="0084403C" w:rsidRPr="00AD0EF3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Kristensen等（2016）质疑：  </w:t>
      </w:r>
    </w:p>
    <w:p w14:paraId="2B4F6CED" w14:textId="156A8E01" w:rsidR="006B412F" w:rsidRPr="0084403C" w:rsidRDefault="006B412F" w:rsidP="0084403C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 w:hint="eastAsia"/>
          <w:szCs w:val="21"/>
        </w:rPr>
        <w:t>因果关系不明确</w:t>
      </w:r>
    </w:p>
    <w:p w14:paraId="173F0FE6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“Alterations in gut microbiota may be a consequence of obesity rather than a causative factor.”  </w:t>
      </w:r>
    </w:p>
    <w:p w14:paraId="69519BDB" w14:textId="617457BB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（Nat Rev Endocrinol, 12(10), p.568）  </w:t>
      </w:r>
    </w:p>
    <w:p w14:paraId="193F14F3" w14:textId="77777777" w:rsidR="0084403C" w:rsidRPr="00AD0EF3" w:rsidRDefault="0084403C" w:rsidP="0084403C">
      <w:pPr>
        <w:rPr>
          <w:rFonts w:ascii="宋体" w:eastAsia="宋体" w:hAnsi="宋体" w:hint="eastAsia"/>
          <w:szCs w:val="21"/>
        </w:rPr>
      </w:pPr>
    </w:p>
    <w:p w14:paraId="18147823" w14:textId="77777777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2023年孟德尔随机化研究：</w:t>
      </w:r>
      <w:r w:rsidRPr="00AD0EF3">
        <w:rPr>
          <w:rFonts w:ascii="宋体" w:eastAsia="宋体" w:hAnsi="宋体"/>
          <w:szCs w:val="21"/>
        </w:rPr>
        <w:br/>
        <w:t>Wang等（2023）通过孟德尔随机化分析发现，人类肠道菌群与肥胖的关联可能由混杂因素（如饮食、遗传）驱动，而非直接因果关系。</w:t>
      </w:r>
    </w:p>
    <w:p w14:paraId="645192E1" w14:textId="799197AA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"No strong evidence supports gut microbiota as a causal driver of obesity… Confounding factors dominate observed associations."</w:t>
      </w:r>
      <w:r w:rsidRPr="00AD0EF3">
        <w:rPr>
          <w:rFonts w:ascii="宋体" w:eastAsia="宋体" w:hAnsi="宋体"/>
          <w:szCs w:val="21"/>
        </w:rPr>
        <w:br/>
        <w:t>（Nature Metabolism, 2023）</w:t>
      </w:r>
    </w:p>
    <w:p w14:paraId="718A962F" w14:textId="77777777" w:rsidR="00AD0EF3" w:rsidRDefault="00AD0EF3" w:rsidP="00AD0EF3">
      <w:pPr>
        <w:rPr>
          <w:rFonts w:ascii="宋体" w:eastAsia="宋体" w:hAnsi="宋体" w:hint="eastAsia"/>
          <w:sz w:val="24"/>
          <w:szCs w:val="24"/>
        </w:rPr>
      </w:pPr>
    </w:p>
    <w:p w14:paraId="24135EAF" w14:textId="3459BBE9" w:rsidR="0084403C" w:rsidRPr="00AD0EF3" w:rsidRDefault="0084403C" w:rsidP="00AD0EF3">
      <w:pPr>
        <w:rPr>
          <w:rFonts w:ascii="宋体" w:eastAsia="宋体" w:hAnsi="宋体" w:hint="eastAsia"/>
          <w:color w:val="C00000"/>
          <w:sz w:val="24"/>
          <w:szCs w:val="24"/>
        </w:rPr>
      </w:pPr>
      <w:r w:rsidRPr="00AD0EF3">
        <w:rPr>
          <w:rFonts w:ascii="宋体" w:eastAsia="宋体" w:hAnsi="宋体"/>
          <w:color w:val="C00000"/>
          <w:sz w:val="24"/>
          <w:szCs w:val="24"/>
        </w:rPr>
        <w:t xml:space="preserve">二、个体差异性：宿主特征主导干预效果  </w:t>
      </w:r>
    </w:p>
    <w:p w14:paraId="76F3B7FA" w14:textId="27FB3E52" w:rsidR="006B412F" w:rsidRPr="00AD0EF3" w:rsidRDefault="0084403C" w:rsidP="00AD0EF3">
      <w:pPr>
        <w:rPr>
          <w:rFonts w:ascii="宋体" w:eastAsia="宋体" w:hAnsi="宋体" w:hint="eastAsia"/>
          <w:color w:val="00B0F0"/>
          <w:szCs w:val="21"/>
        </w:rPr>
      </w:pPr>
      <w:r w:rsidRPr="00AD0EF3">
        <w:rPr>
          <w:rFonts w:ascii="宋体" w:eastAsia="宋体" w:hAnsi="宋体"/>
          <w:color w:val="00B0F0"/>
          <w:szCs w:val="21"/>
        </w:rPr>
        <w:t>1. 个性化响应</w:t>
      </w:r>
    </w:p>
    <w:p w14:paraId="02EFD4E5" w14:textId="1C4CD734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t>Zmora等（2018）发现，益生菌在50%人群的肠道中无法定植，宿主基因、饮食及抗生素使用史显著影响干预效果。</w:t>
      </w:r>
      <w:r w:rsidRPr="0084403C">
        <w:rPr>
          <w:rFonts w:ascii="宋体" w:eastAsia="宋体" w:hAnsi="宋体"/>
          <w:szCs w:val="21"/>
        </w:rPr>
        <w:t xml:space="preserve">  </w:t>
      </w:r>
    </w:p>
    <w:p w14:paraId="45C7140E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“Only 50% of participants showed detectable colonization… Host-specific factors dictated probiotic success.”  </w:t>
      </w:r>
    </w:p>
    <w:p w14:paraId="01594624" w14:textId="47568E41" w:rsidR="0084403C" w:rsidRPr="00AD0EF3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（Cell, 174(6), p.1394）  </w:t>
      </w:r>
    </w:p>
    <w:p w14:paraId="4FBF0B77" w14:textId="77777777" w:rsidR="00AD0EF3" w:rsidRPr="00AD0EF3" w:rsidRDefault="00AD0EF3" w:rsidP="0084403C">
      <w:pPr>
        <w:rPr>
          <w:rFonts w:ascii="宋体" w:eastAsia="宋体" w:hAnsi="宋体" w:hint="eastAsia"/>
          <w:szCs w:val="21"/>
        </w:rPr>
      </w:pPr>
    </w:p>
    <w:p w14:paraId="426ECC74" w14:textId="77777777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2023年基因分型研究：</w:t>
      </w:r>
      <w:r w:rsidRPr="00AD0EF3">
        <w:rPr>
          <w:rFonts w:ascii="宋体" w:eastAsia="宋体" w:hAnsi="宋体"/>
          <w:szCs w:val="21"/>
        </w:rPr>
        <w:br/>
        <w:t>Smith等（2023）发现，携带FTO基因（肥胖相关基因）变异的人群对益生菌干预的响应率降低60%。</w:t>
      </w:r>
    </w:p>
    <w:p w14:paraId="2FA65E20" w14:textId="1D7BC630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"Host genetic variants modulate the efficacy of microbiome-targeted interventions."</w:t>
      </w:r>
      <w:r w:rsidRPr="00AD0EF3">
        <w:rPr>
          <w:rFonts w:ascii="宋体" w:eastAsia="宋体" w:hAnsi="宋体"/>
          <w:szCs w:val="21"/>
        </w:rPr>
        <w:br/>
        <w:t>（Science Translational Medicine, 2023）</w:t>
      </w:r>
    </w:p>
    <w:p w14:paraId="5F7903C8" w14:textId="77777777" w:rsidR="00AD0EF3" w:rsidRPr="0084403C" w:rsidRDefault="00AD0EF3" w:rsidP="0084403C">
      <w:pPr>
        <w:rPr>
          <w:rFonts w:ascii="宋体" w:eastAsia="宋体" w:hAnsi="宋体" w:hint="eastAsia"/>
          <w:szCs w:val="21"/>
        </w:rPr>
      </w:pPr>
    </w:p>
    <w:p w14:paraId="58E49085" w14:textId="77777777" w:rsidR="0084403C" w:rsidRPr="0084403C" w:rsidRDefault="0084403C" w:rsidP="0084403C">
      <w:pPr>
        <w:rPr>
          <w:rFonts w:ascii="宋体" w:eastAsia="宋体" w:hAnsi="宋体" w:hint="eastAsia"/>
          <w:color w:val="00B0F0"/>
          <w:szCs w:val="21"/>
        </w:rPr>
      </w:pPr>
    </w:p>
    <w:p w14:paraId="2C5500F7" w14:textId="77777777" w:rsidR="0084403C" w:rsidRPr="00AD0EF3" w:rsidRDefault="0084403C" w:rsidP="0084403C">
      <w:pPr>
        <w:rPr>
          <w:rFonts w:ascii="宋体" w:eastAsia="宋体" w:hAnsi="宋体" w:hint="eastAsia"/>
          <w:szCs w:val="21"/>
        </w:rPr>
      </w:pPr>
    </w:p>
    <w:p w14:paraId="7BCCD2E7" w14:textId="4B4B8C5F" w:rsidR="0084403C" w:rsidRPr="00EF75A2" w:rsidRDefault="0084403C" w:rsidP="0084403C">
      <w:pPr>
        <w:rPr>
          <w:rFonts w:ascii="宋体" w:eastAsia="宋体" w:hAnsi="宋体" w:hint="eastAsia"/>
          <w:color w:val="C00000"/>
          <w:sz w:val="24"/>
          <w:szCs w:val="24"/>
        </w:rPr>
      </w:pPr>
      <w:r w:rsidRPr="00AD0EF3">
        <w:rPr>
          <w:rFonts w:ascii="宋体" w:eastAsia="宋体" w:hAnsi="宋体" w:hint="eastAsia"/>
          <w:color w:val="C00000"/>
          <w:sz w:val="24"/>
          <w:szCs w:val="24"/>
        </w:rPr>
        <w:t>三</w:t>
      </w:r>
      <w:r w:rsidRPr="00EF75A2">
        <w:rPr>
          <w:rFonts w:ascii="宋体" w:eastAsia="宋体" w:hAnsi="宋体"/>
          <w:color w:val="C00000"/>
          <w:sz w:val="24"/>
          <w:szCs w:val="24"/>
        </w:rPr>
        <w:t>、潜在健康风险：</w:t>
      </w:r>
    </w:p>
    <w:p w14:paraId="7BC3E0C6" w14:textId="032D76B5" w:rsidR="0084403C" w:rsidRPr="00EF75A2" w:rsidRDefault="0084403C" w:rsidP="0084403C">
      <w:pPr>
        <w:rPr>
          <w:rFonts w:ascii="宋体" w:eastAsia="宋体" w:hAnsi="宋体" w:hint="eastAsia"/>
          <w:color w:val="00B0F0"/>
          <w:szCs w:val="21"/>
        </w:rPr>
      </w:pPr>
      <w:r w:rsidRPr="00EF75A2">
        <w:rPr>
          <w:rFonts w:ascii="宋体" w:eastAsia="宋体" w:hAnsi="宋体"/>
          <w:color w:val="00B0F0"/>
          <w:szCs w:val="21"/>
        </w:rPr>
        <w:t xml:space="preserve">1. 感染与病原体传播 </w:t>
      </w:r>
    </w:p>
    <w:p w14:paraId="58536E9F" w14:textId="24930BAF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t>粪便微生物移植（FMT）曾导致耐药性大肠杆菌感染死亡案例（DeFilipp等，2019），促使FDA加强监管。</w:t>
      </w:r>
      <w:r w:rsidRPr="0084403C">
        <w:rPr>
          <w:rFonts w:ascii="宋体" w:eastAsia="宋体" w:hAnsi="宋体"/>
          <w:szCs w:val="21"/>
        </w:rPr>
        <w:t xml:space="preserve">  </w:t>
      </w:r>
    </w:p>
    <w:p w14:paraId="13C7AC4C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“Two patients developed bacteremia from ESBL E. coli transmitted via FMT… One patient died due to septic shock.”  </w:t>
      </w:r>
    </w:p>
    <w:p w14:paraId="6E298D9D" w14:textId="306EF049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（NEJM, 381(21), p.2044）  </w:t>
      </w:r>
    </w:p>
    <w:p w14:paraId="4B2AAE1B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</w:p>
    <w:p w14:paraId="0E041657" w14:textId="0F302E63" w:rsidR="006B412F" w:rsidRPr="00AD0EF3" w:rsidRDefault="0084403C" w:rsidP="006B412F">
      <w:pPr>
        <w:pStyle w:val="a9"/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color w:val="00B0F0"/>
          <w:szCs w:val="21"/>
        </w:rPr>
        <w:t xml:space="preserve">引发并发症 </w:t>
      </w:r>
      <w:r w:rsidRPr="00AD0EF3">
        <w:rPr>
          <w:rFonts w:ascii="宋体" w:eastAsia="宋体" w:hAnsi="宋体"/>
          <w:szCs w:val="21"/>
        </w:rPr>
        <w:t xml:space="preserve"> </w:t>
      </w:r>
    </w:p>
    <w:p w14:paraId="4A484C19" w14:textId="54DE9B31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lastRenderedPageBreak/>
        <w:t xml:space="preserve">免疫功能低下者可能因益生菌入血引发败血症，如荷兰早产儿死亡事件（Esaiassen等，2017）。 </w:t>
      </w:r>
      <w:r w:rsidRPr="0084403C">
        <w:rPr>
          <w:rFonts w:ascii="宋体" w:eastAsia="宋体" w:hAnsi="宋体"/>
          <w:szCs w:val="21"/>
        </w:rPr>
        <w:t xml:space="preserve">  </w:t>
      </w:r>
    </w:p>
    <w:p w14:paraId="529C3D9D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“Bifidobacterium longum subsp. infantis bacteremia was linked to probiotic use in preterm infants… One fatality occurred.”  </w:t>
      </w:r>
    </w:p>
    <w:p w14:paraId="5C163A06" w14:textId="2B04F9FC" w:rsidR="00AD0EF3" w:rsidRPr="00AD0EF3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>（Emerg Infect Dis, 23(8), p.1275）</w:t>
      </w:r>
    </w:p>
    <w:p w14:paraId="756D4003" w14:textId="77777777" w:rsidR="00AD0EF3" w:rsidRPr="00AD0EF3" w:rsidRDefault="00AD0EF3" w:rsidP="0084403C">
      <w:pPr>
        <w:rPr>
          <w:rFonts w:ascii="宋体" w:eastAsia="宋体" w:hAnsi="宋体" w:hint="eastAsia"/>
          <w:szCs w:val="21"/>
        </w:rPr>
      </w:pPr>
    </w:p>
    <w:p w14:paraId="2EF03EFB" w14:textId="25A954CA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2023年追踪研究：</w:t>
      </w:r>
      <w:r w:rsidRPr="00AD0EF3">
        <w:rPr>
          <w:rFonts w:ascii="宋体" w:eastAsia="宋体" w:hAnsi="宋体"/>
          <w:szCs w:val="21"/>
        </w:rPr>
        <w:br/>
        <w:t>接受FMT治疗的肥胖患者中，15%在2年内出现新发自身免疫疾病（如甲状腺炎），提示菌群移植可能触发免疫异常。</w:t>
      </w:r>
    </w:p>
    <w:p w14:paraId="51ACEA5D" w14:textId="78F70DBD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"FMT recipients had a higher incidence of autoimmune disorders compared to controls."</w:t>
      </w:r>
      <w:r w:rsidRPr="00AD0EF3">
        <w:rPr>
          <w:rFonts w:ascii="宋体" w:eastAsia="宋体" w:hAnsi="宋体"/>
          <w:szCs w:val="21"/>
        </w:rPr>
        <w:br/>
        <w:t>（Journal of Clinical Investigation, 2023）</w:t>
      </w:r>
    </w:p>
    <w:p w14:paraId="4EF48467" w14:textId="5BBCCF65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  </w:t>
      </w:r>
    </w:p>
    <w:p w14:paraId="1588517E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</w:p>
    <w:p w14:paraId="29AAFBBB" w14:textId="1075269B" w:rsidR="0084403C" w:rsidRPr="00AD0EF3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color w:val="C00000"/>
          <w:sz w:val="24"/>
          <w:szCs w:val="24"/>
        </w:rPr>
        <w:t>四、长期效果不明确：</w:t>
      </w:r>
      <w:r w:rsidRPr="0084403C">
        <w:rPr>
          <w:rFonts w:ascii="宋体" w:eastAsia="宋体" w:hAnsi="宋体"/>
          <w:szCs w:val="21"/>
        </w:rPr>
        <w:t xml:space="preserve"> </w:t>
      </w:r>
    </w:p>
    <w:p w14:paraId="1F4CC80F" w14:textId="77777777" w:rsidR="006B412F" w:rsidRPr="0084403C" w:rsidRDefault="006B412F" w:rsidP="0084403C">
      <w:pPr>
        <w:rPr>
          <w:rFonts w:ascii="宋体" w:eastAsia="宋体" w:hAnsi="宋体" w:hint="eastAsia"/>
          <w:szCs w:val="21"/>
        </w:rPr>
      </w:pPr>
    </w:p>
    <w:p w14:paraId="3A0762F8" w14:textId="77777777" w:rsidR="0084403C" w:rsidRPr="00EF75A2" w:rsidRDefault="0084403C" w:rsidP="0084403C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t xml:space="preserve">抗生素或益生菌干预后，肠道菌群通常在数周内恢复至干预前状态（Suez等，2018），导致长期效果难以维持。  </w:t>
      </w:r>
    </w:p>
    <w:p w14:paraId="1F880E2D" w14:textId="03FDC8A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  </w:t>
      </w:r>
    </w:p>
    <w:p w14:paraId="419494A3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“Probiotics delayed post-antibiotic microbiome reconstitution… Gut microbiota reverted to baseline within 3 weeks.”  </w:t>
      </w:r>
    </w:p>
    <w:p w14:paraId="7C170535" w14:textId="38D6F9A8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（Cell, 174(6), p.1415）  </w:t>
      </w:r>
    </w:p>
    <w:p w14:paraId="3F330409" w14:textId="77777777" w:rsidR="006B412F" w:rsidRPr="00AD0EF3" w:rsidRDefault="006B412F" w:rsidP="006B412F">
      <w:pPr>
        <w:rPr>
          <w:rFonts w:ascii="宋体" w:eastAsia="宋体" w:hAnsi="宋体" w:hint="eastAsia"/>
          <w:szCs w:val="21"/>
        </w:rPr>
      </w:pPr>
    </w:p>
    <w:p w14:paraId="33134D65" w14:textId="596CD4F8" w:rsidR="0084403C" w:rsidRPr="0084403C" w:rsidRDefault="006B412F" w:rsidP="006B412F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t xml:space="preserve">临床试验显示，益生菌或FMT的减重效果在停药后6个月内反弹50%以上（Kristensen等，2016）。 </w:t>
      </w:r>
      <w:r w:rsidR="0084403C" w:rsidRPr="0084403C">
        <w:rPr>
          <w:rFonts w:ascii="宋体" w:eastAsia="宋体" w:hAnsi="宋体"/>
          <w:szCs w:val="21"/>
        </w:rPr>
        <w:t xml:space="preserve">  </w:t>
      </w:r>
    </w:p>
    <w:p w14:paraId="068CF310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“Weight regain exceeded 50% of initial loss within 6 months after stopping probiotics.”  </w:t>
      </w:r>
    </w:p>
    <w:p w14:paraId="68555858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（Nat Rev Endocrinol, 12(10), p.568）  </w:t>
      </w:r>
    </w:p>
    <w:p w14:paraId="2D2B1644" w14:textId="77777777" w:rsidR="0084403C" w:rsidRPr="0084403C" w:rsidRDefault="0084403C" w:rsidP="0084403C">
      <w:pPr>
        <w:rPr>
          <w:rFonts w:ascii="宋体" w:eastAsia="宋体" w:hAnsi="宋体" w:hint="eastAsia"/>
          <w:sz w:val="24"/>
          <w:szCs w:val="24"/>
        </w:rPr>
      </w:pPr>
    </w:p>
    <w:p w14:paraId="6901F090" w14:textId="6B2CD63D" w:rsidR="0084403C" w:rsidRPr="00AD0EF3" w:rsidRDefault="0084403C" w:rsidP="0084403C">
      <w:pPr>
        <w:rPr>
          <w:rFonts w:ascii="宋体" w:eastAsia="宋体" w:hAnsi="宋体" w:hint="eastAsia"/>
          <w:color w:val="C00000"/>
          <w:sz w:val="24"/>
          <w:szCs w:val="24"/>
        </w:rPr>
      </w:pPr>
      <w:r w:rsidRPr="0084403C">
        <w:rPr>
          <w:rFonts w:ascii="宋体" w:eastAsia="宋体" w:hAnsi="宋体"/>
          <w:color w:val="C00000"/>
          <w:sz w:val="24"/>
          <w:szCs w:val="24"/>
        </w:rPr>
        <w:t>五、</w:t>
      </w:r>
      <w:r w:rsidR="006B412F" w:rsidRPr="00AD0EF3">
        <w:rPr>
          <w:rFonts w:ascii="宋体" w:eastAsia="宋体" w:hAnsi="宋体" w:hint="eastAsia"/>
          <w:color w:val="C00000"/>
          <w:sz w:val="24"/>
          <w:szCs w:val="24"/>
        </w:rPr>
        <w:t>虚假宣传、标准不足</w:t>
      </w:r>
      <w:r w:rsidRPr="0084403C">
        <w:rPr>
          <w:rFonts w:ascii="宋体" w:eastAsia="宋体" w:hAnsi="宋体"/>
          <w:color w:val="C00000"/>
          <w:sz w:val="24"/>
          <w:szCs w:val="24"/>
        </w:rPr>
        <w:t xml:space="preserve">： </w:t>
      </w:r>
    </w:p>
    <w:p w14:paraId="2594A414" w14:textId="77777777" w:rsidR="006B412F" w:rsidRPr="0084403C" w:rsidRDefault="006B412F" w:rsidP="0084403C">
      <w:pPr>
        <w:rPr>
          <w:rFonts w:ascii="宋体" w:eastAsia="宋体" w:hAnsi="宋体" w:hint="eastAsia"/>
          <w:szCs w:val="21"/>
        </w:rPr>
      </w:pPr>
    </w:p>
    <w:p w14:paraId="381A3A22" w14:textId="77777777" w:rsidR="006B412F" w:rsidRPr="00EF75A2" w:rsidRDefault="006B412F" w:rsidP="006B412F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color w:val="00B0F0"/>
          <w:szCs w:val="21"/>
        </w:rPr>
        <w:t xml:space="preserve">1. 产品存活率与有效性存疑 </w:t>
      </w:r>
      <w:r w:rsidRPr="00EF75A2">
        <w:rPr>
          <w:rFonts w:ascii="宋体" w:eastAsia="宋体" w:hAnsi="宋体"/>
          <w:szCs w:val="21"/>
        </w:rPr>
        <w:t xml:space="preserve"> </w:t>
      </w:r>
    </w:p>
    <w:p w14:paraId="076C8401" w14:textId="61350D8E" w:rsidR="0084403C" w:rsidRPr="0084403C" w:rsidRDefault="006B412F" w:rsidP="006B412F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t xml:space="preserve">第三方检测显示，部分益生菌产品活菌数不足标签标注的10%，且胃酸环境进一步降低其存活率（Reid，2015）。 </w:t>
      </w:r>
      <w:r w:rsidR="0084403C" w:rsidRPr="0084403C">
        <w:rPr>
          <w:rFonts w:ascii="宋体" w:eastAsia="宋体" w:hAnsi="宋体"/>
          <w:szCs w:val="21"/>
        </w:rPr>
        <w:t xml:space="preserve">  </w:t>
      </w:r>
    </w:p>
    <w:p w14:paraId="6910BD6D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“40% of commercial probiotics contained less than 10% labeled viable cells… Gastric acid reduced survival by 90%.”  </w:t>
      </w:r>
    </w:p>
    <w:p w14:paraId="423FFF1A" w14:textId="2A346E63" w:rsidR="0084403C" w:rsidRPr="00AD0EF3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（Front Microbiol, 6, p.836）  </w:t>
      </w:r>
    </w:p>
    <w:p w14:paraId="69018B03" w14:textId="77777777" w:rsidR="00AD0EF3" w:rsidRPr="00AD0EF3" w:rsidRDefault="00AD0EF3" w:rsidP="0084403C">
      <w:pPr>
        <w:rPr>
          <w:rFonts w:ascii="宋体" w:eastAsia="宋体" w:hAnsi="宋体" w:hint="eastAsia"/>
          <w:szCs w:val="21"/>
        </w:rPr>
      </w:pPr>
    </w:p>
    <w:p w14:paraId="6642DAA2" w14:textId="755BFDA4" w:rsidR="00AD0EF3" w:rsidRPr="00AD0EF3" w:rsidRDefault="00AD0EF3" w:rsidP="00AD0EF3">
      <w:pPr>
        <w:rPr>
          <w:rFonts w:ascii="宋体" w:eastAsia="宋体" w:hAnsi="宋体" w:hint="eastAsia"/>
          <w:szCs w:val="21"/>
        </w:rPr>
      </w:pPr>
      <w:r w:rsidRPr="00AD0EF3">
        <w:rPr>
          <w:rFonts w:ascii="宋体" w:eastAsia="宋体" w:hAnsi="宋体"/>
          <w:szCs w:val="21"/>
        </w:rPr>
        <w:t>2023年FTC报告：</w:t>
      </w:r>
      <w:r w:rsidRPr="00AD0EF3">
        <w:rPr>
          <w:rFonts w:ascii="宋体" w:eastAsia="宋体" w:hAnsi="宋体"/>
          <w:szCs w:val="21"/>
        </w:rPr>
        <w:br/>
        <w:t>针对益生菌减肥产品的投诉增长45%，主要涉及“快速燃脂”“无需节食”等不实宣传。</w:t>
      </w:r>
      <w:r w:rsidRPr="00AD0EF3">
        <w:rPr>
          <w:rFonts w:ascii="宋体" w:eastAsia="宋体" w:hAnsi="宋体"/>
          <w:szCs w:val="21"/>
        </w:rPr>
        <w:br/>
        <w:t>（FTC Consumer Alert, 2023）</w:t>
      </w:r>
    </w:p>
    <w:p w14:paraId="33B7B469" w14:textId="77777777" w:rsidR="00AD0EF3" w:rsidRPr="0084403C" w:rsidRDefault="00AD0EF3" w:rsidP="0084403C">
      <w:pPr>
        <w:rPr>
          <w:rFonts w:ascii="宋体" w:eastAsia="宋体" w:hAnsi="宋体" w:hint="eastAsia"/>
          <w:szCs w:val="21"/>
        </w:rPr>
      </w:pPr>
    </w:p>
    <w:p w14:paraId="2C2A4FA1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</w:p>
    <w:p w14:paraId="62665A38" w14:textId="77777777" w:rsidR="006B412F" w:rsidRPr="00EF75A2" w:rsidRDefault="006B412F" w:rsidP="006B412F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color w:val="00B0F0"/>
          <w:szCs w:val="21"/>
        </w:rPr>
        <w:t xml:space="preserve">2. 缺乏标准化与监管 </w:t>
      </w:r>
      <w:r w:rsidRPr="00EF75A2">
        <w:rPr>
          <w:rFonts w:ascii="宋体" w:eastAsia="宋体" w:hAnsi="宋体"/>
          <w:szCs w:val="21"/>
        </w:rPr>
        <w:t xml:space="preserve"> </w:t>
      </w:r>
    </w:p>
    <w:p w14:paraId="0BA00341" w14:textId="77777777" w:rsidR="006B412F" w:rsidRPr="00EF75A2" w:rsidRDefault="006B412F" w:rsidP="006B412F">
      <w:pPr>
        <w:rPr>
          <w:rFonts w:ascii="宋体" w:eastAsia="宋体" w:hAnsi="宋体" w:hint="eastAsia"/>
          <w:szCs w:val="21"/>
        </w:rPr>
      </w:pPr>
      <w:r w:rsidRPr="00EF75A2">
        <w:rPr>
          <w:rFonts w:ascii="宋体" w:eastAsia="宋体" w:hAnsi="宋体"/>
          <w:szCs w:val="21"/>
        </w:rPr>
        <w:lastRenderedPageBreak/>
        <w:t xml:space="preserve">美国FTC曾对BioFit等品牌提起诉讼，因其宣称“无需节食减重60磅”但无科学依据（2020年案例）。  </w:t>
      </w:r>
    </w:p>
    <w:p w14:paraId="4CA59E6A" w14:textId="2D243DDF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  </w:t>
      </w:r>
    </w:p>
    <w:p w14:paraId="08BB2C8A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“Claims of ‘60-pound weight loss without dieting’ were deceptive and unsupported by clinical evidence.”  </w:t>
      </w:r>
    </w:p>
    <w:p w14:paraId="0FA8706B" w14:textId="77777777" w:rsidR="0084403C" w:rsidRPr="0084403C" w:rsidRDefault="0084403C" w:rsidP="0084403C">
      <w:pPr>
        <w:rPr>
          <w:rFonts w:ascii="宋体" w:eastAsia="宋体" w:hAnsi="宋体" w:hint="eastAsia"/>
          <w:szCs w:val="21"/>
        </w:rPr>
      </w:pPr>
      <w:r w:rsidRPr="0084403C">
        <w:rPr>
          <w:rFonts w:ascii="宋体" w:eastAsia="宋体" w:hAnsi="宋体"/>
          <w:szCs w:val="21"/>
        </w:rPr>
        <w:t xml:space="preserve">（FTC官方公告，2020年9月）  </w:t>
      </w:r>
    </w:p>
    <w:p w14:paraId="6D26691F" w14:textId="1E8CAF17" w:rsidR="00EA1489" w:rsidRPr="00AD0EF3" w:rsidRDefault="00EA1489" w:rsidP="0084403C">
      <w:pPr>
        <w:rPr>
          <w:rFonts w:ascii="宋体" w:eastAsia="宋体" w:hAnsi="宋体" w:hint="eastAsia"/>
          <w:szCs w:val="21"/>
        </w:rPr>
      </w:pPr>
    </w:p>
    <w:sectPr w:rsidR="00EA1489" w:rsidRPr="00AD0E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6577" w14:textId="77777777" w:rsidR="00F80149" w:rsidRDefault="00F80149" w:rsidP="0084403C">
      <w:pPr>
        <w:rPr>
          <w:rFonts w:hint="eastAsia"/>
        </w:rPr>
      </w:pPr>
      <w:r>
        <w:separator/>
      </w:r>
    </w:p>
  </w:endnote>
  <w:endnote w:type="continuationSeparator" w:id="0">
    <w:p w14:paraId="50969A2E" w14:textId="77777777" w:rsidR="00F80149" w:rsidRDefault="00F80149" w:rsidP="008440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6CCB1" w14:textId="77777777" w:rsidR="00F80149" w:rsidRDefault="00F80149" w:rsidP="0084403C">
      <w:pPr>
        <w:rPr>
          <w:rFonts w:hint="eastAsia"/>
        </w:rPr>
      </w:pPr>
      <w:r>
        <w:separator/>
      </w:r>
    </w:p>
  </w:footnote>
  <w:footnote w:type="continuationSeparator" w:id="0">
    <w:p w14:paraId="0474D111" w14:textId="77777777" w:rsidR="00F80149" w:rsidRDefault="00F80149" w:rsidP="008440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69AA"/>
    <w:multiLevelType w:val="multilevel"/>
    <w:tmpl w:val="B50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506F1"/>
    <w:multiLevelType w:val="multilevel"/>
    <w:tmpl w:val="E99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2456C"/>
    <w:multiLevelType w:val="hybridMultilevel"/>
    <w:tmpl w:val="D446FE98"/>
    <w:lvl w:ilvl="0" w:tplc="C4045F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85598B"/>
    <w:multiLevelType w:val="hybridMultilevel"/>
    <w:tmpl w:val="2DB24BFE"/>
    <w:lvl w:ilvl="0" w:tplc="3F227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0A7B0E"/>
    <w:multiLevelType w:val="multilevel"/>
    <w:tmpl w:val="2CC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C1C0F"/>
    <w:multiLevelType w:val="multilevel"/>
    <w:tmpl w:val="582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9157">
    <w:abstractNumId w:val="2"/>
  </w:num>
  <w:num w:numId="2" w16cid:durableId="1214973949">
    <w:abstractNumId w:val="3"/>
  </w:num>
  <w:num w:numId="3" w16cid:durableId="1307734296">
    <w:abstractNumId w:val="4"/>
  </w:num>
  <w:num w:numId="4" w16cid:durableId="1927569408">
    <w:abstractNumId w:val="0"/>
  </w:num>
  <w:num w:numId="5" w16cid:durableId="933590896">
    <w:abstractNumId w:val="1"/>
  </w:num>
  <w:num w:numId="6" w16cid:durableId="94593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42"/>
    <w:rsid w:val="000D5624"/>
    <w:rsid w:val="001F0EE2"/>
    <w:rsid w:val="00312A04"/>
    <w:rsid w:val="006B412F"/>
    <w:rsid w:val="0084403C"/>
    <w:rsid w:val="008607F0"/>
    <w:rsid w:val="009264C3"/>
    <w:rsid w:val="009A7342"/>
    <w:rsid w:val="00AD0EF3"/>
    <w:rsid w:val="00B23642"/>
    <w:rsid w:val="00DD1FFA"/>
    <w:rsid w:val="00EA1489"/>
    <w:rsid w:val="00F80149"/>
    <w:rsid w:val="00FD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5F3DE"/>
  <w15:chartTrackingRefBased/>
  <w15:docId w15:val="{A3D87659-B261-4CDD-AEEA-4929CF2F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3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3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3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3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3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3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3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3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3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3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3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73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3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3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3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3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3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3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3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3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3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3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40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40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40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403C"/>
    <w:rPr>
      <w:sz w:val="18"/>
      <w:szCs w:val="18"/>
    </w:rPr>
  </w:style>
  <w:style w:type="character" w:styleId="af2">
    <w:name w:val="Hyperlink"/>
    <w:basedOn w:val="a0"/>
    <w:uiPriority w:val="99"/>
    <w:unhideWhenUsed/>
    <w:rsid w:val="00AD0EF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0EF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D0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0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666</Words>
  <Characters>1748</Characters>
  <Application>Microsoft Office Word</Application>
  <DocSecurity>0</DocSecurity>
  <Lines>69</Lines>
  <Paragraphs>44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a18211093815@outlook.com</dc:creator>
  <cp:keywords/>
  <dc:description/>
  <cp:lastModifiedBy>a18211093815@outlook.com</cp:lastModifiedBy>
  <cp:revision>8</cp:revision>
  <dcterms:created xsi:type="dcterms:W3CDTF">2025-04-26T13:43:00Z</dcterms:created>
  <dcterms:modified xsi:type="dcterms:W3CDTF">2025-04-26T14:20:00Z</dcterms:modified>
</cp:coreProperties>
</file>