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2012" w:rsidRDefault="00862012" w:rsidP="00862012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>Chap</w:t>
      </w:r>
      <w:r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</w:rPr>
        <w:t>4</w:t>
      </w: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 xml:space="preserve">. </w:t>
      </w:r>
      <w:r w:rsidR="00272BB6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  <w:lang w:val="en-US"/>
        </w:rPr>
        <w:t>公钥密码</w:t>
      </w:r>
    </w:p>
    <w:p w:rsidR="00862012" w:rsidRPr="00AE7FE3" w:rsidRDefault="00862012" w:rsidP="00862012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color w:val="747474" w:themeColor="background2" w:themeShade="80"/>
        </w:rPr>
        <w:t>基于复习课课件中提供的复习题</w:t>
      </w:r>
    </w:p>
    <w:p w:rsidR="00D64AF2" w:rsidRDefault="00862012" w:rsidP="00D64AF2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="00D64AF2" w:rsidRPr="00D64AF2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="00D64AF2" w:rsidRPr="00D64AF2">
        <w:rPr>
          <w:rFonts w:ascii="Calibri" w:eastAsia="KaiTi" w:hAnsi="Calibri" w:cs="Calibri"/>
          <w:b/>
          <w:bCs/>
          <w:color w:val="0070C0"/>
          <w:lang w:val="en-US"/>
        </w:rPr>
        <w:t>对称密码与非对称密码</w:t>
      </w:r>
      <w:r w:rsidR="007631A1">
        <w:rPr>
          <w:rFonts w:ascii="Calibri" w:eastAsia="KaiTi" w:hAnsi="Calibri" w:cs="Calibri" w:hint="eastAsia"/>
          <w:b/>
          <w:bCs/>
          <w:color w:val="0070C0"/>
          <w:lang w:val="en-US"/>
        </w:rPr>
        <w:t>（</w:t>
      </w:r>
      <w:r w:rsidR="007631A1">
        <w:rPr>
          <w:rFonts w:ascii="Calibri" w:eastAsia="KaiTi" w:hAnsi="Calibri" w:cs="Calibri"/>
          <w:b/>
          <w:bCs/>
          <w:color w:val="0070C0"/>
          <w:lang w:val="en-US"/>
        </w:rPr>
        <w:t>a.k.a.</w:t>
      </w:r>
      <w:r w:rsidR="007631A1">
        <w:rPr>
          <w:rFonts w:ascii="Calibri" w:eastAsia="KaiTi" w:hAnsi="Calibri" w:cs="Calibri"/>
          <w:b/>
          <w:bCs/>
          <w:color w:val="0070C0"/>
          <w:lang w:val="en-US"/>
        </w:rPr>
        <w:t>公钥密码）</w:t>
      </w:r>
      <w:r w:rsidR="00D64AF2" w:rsidRPr="00D64AF2">
        <w:rPr>
          <w:rFonts w:ascii="Calibri" w:eastAsia="KaiTi" w:hAnsi="Calibri" w:cs="Calibri"/>
          <w:b/>
          <w:bCs/>
          <w:color w:val="0070C0"/>
          <w:lang w:val="en-US"/>
        </w:rPr>
        <w:t>的异同</w:t>
      </w:r>
    </w:p>
    <w:p w:rsidR="00496B88" w:rsidRDefault="00496B88" w:rsidP="00D11ABA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相同点</w:t>
      </w:r>
      <w:r w:rsidR="00564F91">
        <w:rPr>
          <w:rFonts w:ascii="Calibri" w:eastAsia="KaiTi" w:hAnsi="Calibri" w:cs="Calibri" w:hint="eastAsia"/>
          <w:color w:val="000000" w:themeColor="text1"/>
          <w:lang w:val="en-US"/>
        </w:rPr>
        <w:t>：基于密钥进行加密和解密</w:t>
      </w:r>
    </w:p>
    <w:p w:rsidR="00632A84" w:rsidRPr="00632A84" w:rsidRDefault="00496B88" w:rsidP="00632A84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不同点</w:t>
      </w:r>
    </w:p>
    <w:tbl>
      <w:tblPr>
        <w:tblStyle w:val="GridTable3-Accent4"/>
        <w:tblW w:w="0" w:type="auto"/>
        <w:tblLook w:val="04A0" w:firstRow="1" w:lastRow="0" w:firstColumn="1" w:lastColumn="0" w:noHBand="0" w:noVBand="1"/>
      </w:tblPr>
      <w:tblGrid>
        <w:gridCol w:w="1134"/>
        <w:gridCol w:w="3969"/>
        <w:gridCol w:w="3923"/>
      </w:tblGrid>
      <w:tr w:rsidR="00632A84" w:rsidRPr="00632A84" w:rsidTr="00632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  <w:t>特性</w:t>
            </w:r>
          </w:p>
        </w:tc>
        <w:tc>
          <w:tcPr>
            <w:tcW w:w="3969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color w:val="000000" w:themeColor="text1"/>
              </w:rPr>
              <w:t>对称密码</w:t>
            </w:r>
          </w:p>
        </w:tc>
        <w:tc>
          <w:tcPr>
            <w:tcW w:w="3923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color w:val="000000" w:themeColor="text1"/>
              </w:rPr>
              <w:t>非对称密码</w:t>
            </w:r>
          </w:p>
        </w:tc>
      </w:tr>
      <w:tr w:rsidR="00632A84" w:rsidRPr="00632A84" w:rsidTr="00632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密钥数量</w:t>
            </w:r>
          </w:p>
        </w:tc>
        <w:tc>
          <w:tcPr>
            <w:tcW w:w="3969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color w:val="000000" w:themeColor="text1"/>
              </w:rPr>
              <w:t>单钥</w:t>
            </w:r>
          </w:p>
        </w:tc>
        <w:tc>
          <w:tcPr>
            <w:tcW w:w="3923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color w:val="000000" w:themeColor="text1"/>
              </w:rPr>
              <w:t>双钥</w:t>
            </w:r>
          </w:p>
        </w:tc>
      </w:tr>
      <w:tr w:rsidR="00632A84" w:rsidRPr="00632A84" w:rsidTr="00632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密钥关系</w:t>
            </w:r>
          </w:p>
        </w:tc>
        <w:tc>
          <w:tcPr>
            <w:tcW w:w="3969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color w:val="000000" w:themeColor="text1"/>
              </w:rPr>
              <w:t>推导容易（通常相同）</w:t>
            </w:r>
          </w:p>
        </w:tc>
        <w:tc>
          <w:tcPr>
            <w:tcW w:w="3923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color w:val="000000" w:themeColor="text1"/>
              </w:rPr>
              <w:t>从公钥推导私钥在计算上不可行</w:t>
            </w:r>
          </w:p>
        </w:tc>
      </w:tr>
      <w:tr w:rsidR="00632A84" w:rsidRPr="00632A84" w:rsidTr="00632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运行速度</w:t>
            </w:r>
          </w:p>
        </w:tc>
        <w:tc>
          <w:tcPr>
            <w:tcW w:w="3969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color w:val="000000" w:themeColor="text1"/>
              </w:rPr>
              <w:t>快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，效率高</w:t>
            </w:r>
          </w:p>
        </w:tc>
        <w:tc>
          <w:tcPr>
            <w:tcW w:w="3923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color w:val="000000" w:themeColor="text1"/>
              </w:rPr>
              <w:t>慢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，计算量大</w:t>
            </w:r>
          </w:p>
        </w:tc>
      </w:tr>
      <w:tr w:rsidR="00632A84" w:rsidRPr="00632A84" w:rsidTr="00632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密钥长度</w:t>
            </w:r>
          </w:p>
        </w:tc>
        <w:tc>
          <w:tcPr>
            <w:tcW w:w="3969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color w:val="000000" w:themeColor="text1"/>
              </w:rPr>
              <w:t>较短（如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128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位）即可获得高安全性</w:t>
            </w:r>
          </w:p>
        </w:tc>
        <w:tc>
          <w:tcPr>
            <w:tcW w:w="3923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color w:val="000000" w:themeColor="text1"/>
              </w:rPr>
              <w:t>需要很长才能达到同等安全性</w:t>
            </w:r>
          </w:p>
        </w:tc>
      </w:tr>
      <w:tr w:rsidR="00632A84" w:rsidRPr="00632A84" w:rsidTr="00632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密钥管理</w:t>
            </w:r>
          </w:p>
        </w:tc>
        <w:tc>
          <w:tcPr>
            <w:tcW w:w="3969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color w:val="000000" w:themeColor="text1"/>
              </w:rPr>
              <w:t>困难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：</w:t>
            </w:r>
            <m:oMath>
              <m:r>
                <w:rPr>
                  <w:rFonts w:ascii="Cambria Math" w:eastAsia="KaiTi" w:hAnsi="Cambria Math" w:cs="Calibri"/>
                  <w:color w:val="000000" w:themeColor="text1"/>
                </w:rPr>
                <m:t>n</m:t>
              </m:r>
            </m:oMath>
            <w:r w:rsidRPr="00632A84">
              <w:rPr>
                <w:rFonts w:ascii="Calibri" w:eastAsia="KaiTi" w:hAnsi="Calibri" w:cs="Calibri"/>
                <w:color w:val="000000" w:themeColor="text1"/>
              </w:rPr>
              <w:t>个用户需要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 </w:t>
            </w:r>
            <m:oMath>
              <m:r>
                <w:rPr>
                  <w:rFonts w:ascii="Cambria Math" w:eastAsia="KaiTi" w:hAnsi="Cambria Math" w:cs="Calibri"/>
                  <w:color w:val="000000" w:themeColor="text1"/>
                </w:rPr>
                <m:t>n(n-1)/2</m:t>
              </m:r>
            </m:oMath>
            <w:r w:rsidRPr="00632A84">
              <w:rPr>
                <w:rFonts w:ascii="Calibri" w:eastAsia="KaiTi" w:hAnsi="Calibri" w:cs="Calibri"/>
                <w:color w:val="000000" w:themeColor="text1"/>
              </w:rPr>
              <w:t>个密钥，分发需安全信道</w:t>
            </w:r>
          </w:p>
        </w:tc>
        <w:tc>
          <w:tcPr>
            <w:tcW w:w="3923" w:type="dxa"/>
            <w:vAlign w:val="center"/>
            <w:hideMark/>
          </w:tcPr>
          <w:p w:rsidR="00632A84" w:rsidRDefault="00632A84" w:rsidP="00632A8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color w:val="000000" w:themeColor="text1"/>
              </w:rPr>
              <w:t>容易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：</w:t>
            </w:r>
            <m:oMath>
              <m:r>
                <w:rPr>
                  <w:rFonts w:ascii="Cambria Math" w:eastAsia="KaiTi" w:hAnsi="Cambria Math" w:cs="Calibri"/>
                  <w:color w:val="000000" w:themeColor="text1"/>
                </w:rPr>
                <m:t>n</m:t>
              </m:r>
            </m:oMath>
            <w:r w:rsidRPr="00632A84">
              <w:rPr>
                <w:rFonts w:ascii="Calibri" w:eastAsia="KaiTi" w:hAnsi="Calibri" w:cs="Calibri"/>
                <w:color w:val="000000" w:themeColor="text1"/>
              </w:rPr>
              <w:t>个用户只需</w:t>
            </w:r>
            <m:oMath>
              <m:r>
                <w:rPr>
                  <w:rFonts w:ascii="Cambria Math" w:eastAsia="KaiTi" w:hAnsi="Cambria Math" w:cs="Calibri"/>
                  <w:color w:val="000000" w:themeColor="text1"/>
                </w:rPr>
                <m:t> </m:t>
              </m:r>
              <m:r>
                <w:rPr>
                  <w:rFonts w:ascii="Cambria Math" w:eastAsia="KaiTi" w:hAnsi="Cambria Math" w:cs="Calibri" w:hint="eastAsia"/>
                  <w:color w:val="000000" w:themeColor="text1"/>
                </w:rPr>
                <m:t>2</m:t>
              </m:r>
              <m:r>
                <w:rPr>
                  <w:rFonts w:ascii="Cambria Math" w:eastAsia="KaiTi" w:hAnsi="Cambria Math" w:cs="Calibri"/>
                  <w:color w:val="000000" w:themeColor="text1"/>
                </w:rPr>
                <m:t>n</m:t>
              </m:r>
            </m:oMath>
            <w:r w:rsidRPr="00632A84">
              <w:rPr>
                <w:rFonts w:ascii="Calibri" w:eastAsia="KaiTi" w:hAnsi="Calibri" w:cs="Calibri"/>
                <w:color w:val="000000" w:themeColor="text1"/>
              </w:rPr>
              <w:t>个密钥，</w:t>
            </w:r>
          </w:p>
          <w:p w:rsidR="00632A84" w:rsidRPr="00632A84" w:rsidRDefault="00632A84" w:rsidP="00632A8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color w:val="000000" w:themeColor="text1"/>
              </w:rPr>
              <w:t>公钥可公开</w:t>
            </w:r>
          </w:p>
        </w:tc>
      </w:tr>
      <w:tr w:rsidR="00632A84" w:rsidRPr="00632A84" w:rsidTr="00632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rPr>
                <w:rFonts w:ascii="Calibri" w:eastAsia="KaiTi" w:hAnsi="Calibri" w:cs="Calibri" w:hint="eastAsia"/>
                <w:i w:val="0"/>
                <w:iCs w:val="0"/>
                <w:color w:val="000000" w:themeColor="text1"/>
              </w:rPr>
            </w:pPr>
            <w:r>
              <w:rPr>
                <w:rFonts w:ascii="Calibri" w:eastAsia="KaiTi" w:hAnsi="Calibri" w:cs="Calibri" w:hint="eastAsia"/>
                <w:b/>
                <w:bCs/>
                <w:i w:val="0"/>
                <w:iCs w:val="0"/>
                <w:color w:val="000000" w:themeColor="text1"/>
              </w:rPr>
              <w:t>应用范围</w:t>
            </w:r>
          </w:p>
        </w:tc>
        <w:tc>
          <w:tcPr>
            <w:tcW w:w="3969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color w:val="000000" w:themeColor="text1"/>
              </w:rPr>
              <w:t>数据加密、完整性验证（如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MAC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）</w:t>
            </w:r>
          </w:p>
        </w:tc>
        <w:tc>
          <w:tcPr>
            <w:tcW w:w="3923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color w:val="000000" w:themeColor="text1"/>
              </w:rPr>
              <w:t>数据加密、</w:t>
            </w:r>
            <w:r w:rsidRPr="00632A84">
              <w:rPr>
                <w:rFonts w:ascii="Calibri" w:eastAsia="KaiTi" w:hAnsi="Calibri" w:cs="Calibri"/>
                <w:b/>
                <w:bCs/>
                <w:color w:val="000000" w:themeColor="text1"/>
              </w:rPr>
              <w:t>数字签名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、</w:t>
            </w:r>
            <w:r w:rsidRPr="00632A84">
              <w:rPr>
                <w:rFonts w:ascii="Calibri" w:eastAsia="KaiTi" w:hAnsi="Calibri" w:cs="Calibri"/>
                <w:b/>
                <w:bCs/>
                <w:color w:val="000000" w:themeColor="text1"/>
              </w:rPr>
              <w:t>密钥交换</w:t>
            </w:r>
          </w:p>
        </w:tc>
      </w:tr>
      <w:tr w:rsidR="00632A84" w:rsidRPr="00632A84" w:rsidTr="00632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通信关系</w:t>
            </w:r>
          </w:p>
        </w:tc>
        <w:tc>
          <w:tcPr>
            <w:tcW w:w="3969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color w:val="000000" w:themeColor="text1"/>
              </w:rPr>
              <w:t>平等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：双方拥有相同秘密</w:t>
            </w:r>
            <w:r>
              <w:rPr>
                <w:rFonts w:ascii="Calibri" w:eastAsia="KaiTi" w:hAnsi="Calibri" w:cs="Calibri" w:hint="eastAsia"/>
                <w:color w:val="000000" w:themeColor="text1"/>
              </w:rPr>
              <w:t>；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无法防抵赖</w:t>
            </w:r>
          </w:p>
        </w:tc>
        <w:tc>
          <w:tcPr>
            <w:tcW w:w="3923" w:type="dxa"/>
            <w:vAlign w:val="center"/>
            <w:hideMark/>
          </w:tcPr>
          <w:p w:rsidR="00632A84" w:rsidRPr="00632A84" w:rsidRDefault="00632A84" w:rsidP="00632A8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632A84">
              <w:rPr>
                <w:rFonts w:ascii="Calibri" w:eastAsia="KaiTi" w:hAnsi="Calibri" w:cs="Calibri"/>
                <w:b/>
                <w:bCs/>
                <w:color w:val="000000" w:themeColor="text1"/>
              </w:rPr>
              <w:t>不平等</w:t>
            </w:r>
            <w:r w:rsidRPr="00632A84">
              <w:rPr>
                <w:rFonts w:ascii="Calibri" w:eastAsia="KaiTi" w:hAnsi="Calibri" w:cs="Calibri"/>
                <w:color w:val="000000" w:themeColor="text1"/>
              </w:rPr>
              <w:t>：一方拥有私钥，另一方拥有公钥，可实现单方认证</w:t>
            </w:r>
          </w:p>
        </w:tc>
      </w:tr>
    </w:tbl>
    <w:p w:rsidR="00BA63DF" w:rsidRDefault="00BA63DF" w:rsidP="00BA63DF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64AF2">
        <w:rPr>
          <w:rFonts w:ascii="Calibri" w:eastAsia="KaiTi" w:hAnsi="Calibri" w:cs="Calibri"/>
          <w:b/>
          <w:bCs/>
          <w:color w:val="0070C0"/>
          <w:lang w:val="en-US"/>
        </w:rPr>
        <w:t>公钥密码的基本思想和要求</w:t>
      </w:r>
      <w:r w:rsidR="004342CB">
        <w:rPr>
          <w:rFonts w:ascii="Calibri" w:eastAsia="KaiTi" w:hAnsi="Calibri" w:cs="Calibri" w:hint="eastAsia"/>
          <w:b/>
          <w:bCs/>
          <w:color w:val="0070C0"/>
          <w:lang w:val="en-US"/>
        </w:rPr>
        <w:t>（单向陷门函数）</w:t>
      </w:r>
    </w:p>
    <w:p w:rsidR="00BA63DF" w:rsidRDefault="00440585" w:rsidP="00BA63DF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对发送方和接收方</w:t>
      </w:r>
    </w:p>
    <w:p w:rsidR="00440585" w:rsidRDefault="00906921" w:rsidP="00440585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产生一对密钥计算可行</w:t>
      </w:r>
    </w:p>
    <w:p w:rsidR="00906921" w:rsidRDefault="00906921" w:rsidP="00440585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公钥加密、私钥解密计算可行</w:t>
      </w:r>
    </w:p>
    <w:p w:rsidR="00BA63DF" w:rsidRDefault="00440585" w:rsidP="00BA63DF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对攻击者</w:t>
      </w:r>
    </w:p>
    <w:p w:rsidR="00906921" w:rsidRDefault="00906921" w:rsidP="00906921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从公钥推断私钥计算不可行</w:t>
      </w:r>
    </w:p>
    <w:p w:rsidR="00906921" w:rsidRDefault="00906921" w:rsidP="00906921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从公钥和密文恢复明文计算不可行</w:t>
      </w:r>
    </w:p>
    <w:p w:rsidR="00BA63DF" w:rsidRDefault="00E245C5" w:rsidP="00E245C5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64AF2">
        <w:rPr>
          <w:rFonts w:ascii="Calibri" w:eastAsia="KaiTi" w:hAnsi="Calibri" w:cs="Calibri" w:hint="eastAsia"/>
          <w:b/>
          <w:bCs/>
          <w:color w:val="0070C0"/>
          <w:lang w:val="en-US"/>
        </w:rPr>
        <w:t>公钥密码算法的数学基础：</w:t>
      </w:r>
      <w:r w:rsidR="00ED4442">
        <w:rPr>
          <w:rFonts w:ascii="Calibri" w:eastAsia="KaiTi" w:hAnsi="Calibri" w:cs="Calibri" w:hint="eastAsia"/>
          <w:b/>
          <w:bCs/>
          <w:color w:val="0070C0"/>
          <w:lang w:val="en-US"/>
        </w:rPr>
        <w:t>费马小</w:t>
      </w:r>
      <w:r w:rsidRPr="00D64AF2">
        <w:rPr>
          <w:rFonts w:ascii="Calibri" w:eastAsia="KaiTi" w:hAnsi="Calibri" w:cs="Calibri" w:hint="eastAsia"/>
          <w:b/>
          <w:bCs/>
          <w:color w:val="0070C0"/>
          <w:lang w:val="en-US"/>
        </w:rPr>
        <w:t>定理、欧拉定理、快速指数算法、有限域</w:t>
      </w:r>
      <w:r w:rsidRPr="00D64AF2">
        <w:rPr>
          <w:rFonts w:ascii="Calibri" w:eastAsia="KaiTi" w:hAnsi="Calibri" w:cs="Calibri" w:hint="eastAsia"/>
          <w:b/>
          <w:bCs/>
          <w:color w:val="0070C0"/>
          <w:lang w:val="en-US"/>
        </w:rPr>
        <w:t>GF(p)</w:t>
      </w:r>
      <w:r w:rsidRPr="00D64AF2">
        <w:rPr>
          <w:rFonts w:ascii="Calibri" w:eastAsia="KaiTi" w:hAnsi="Calibri" w:cs="Calibri" w:hint="eastAsia"/>
          <w:b/>
          <w:bCs/>
          <w:color w:val="0070C0"/>
          <w:lang w:val="en-US"/>
        </w:rPr>
        <w:t>上的离散对数</w:t>
      </w:r>
    </w:p>
    <w:p w:rsidR="00E245C5" w:rsidRDefault="00ED4442" w:rsidP="00E245C5">
      <w:pPr>
        <w:pStyle w:val="ListParagraph"/>
        <w:numPr>
          <w:ilvl w:val="0"/>
          <w:numId w:val="3"/>
        </w:numPr>
        <w:spacing w:line="276" w:lineRule="auto"/>
        <w:rPr>
          <w:rFonts w:ascii="Calibri" w:eastAsia="KaiTi" w:hAnsi="Calibri" w:cs="Calibri"/>
          <w:color w:val="0070C0"/>
          <w:lang w:val="en-US"/>
        </w:rPr>
      </w:pPr>
      <w:r>
        <w:rPr>
          <w:rFonts w:ascii="Calibri" w:eastAsia="KaiTi" w:hAnsi="Calibri" w:cs="Calibri" w:hint="eastAsia"/>
          <w:color w:val="0070C0"/>
          <w:lang w:val="en-US"/>
        </w:rPr>
        <w:t>费马小</w:t>
      </w:r>
      <w:r w:rsidR="00E245C5">
        <w:rPr>
          <w:rFonts w:ascii="Calibri" w:eastAsia="KaiTi" w:hAnsi="Calibri" w:cs="Calibri" w:hint="eastAsia"/>
          <w:color w:val="0070C0"/>
          <w:lang w:val="en-US"/>
        </w:rPr>
        <w:t>定理</w:t>
      </w:r>
      <w:r w:rsidR="00D678AA">
        <w:rPr>
          <w:rFonts w:ascii="Calibri" w:eastAsia="KaiTi" w:hAnsi="Calibri" w:cs="Calibri" w:hint="eastAsia"/>
          <w:color w:val="0070C0"/>
          <w:lang w:val="en-US"/>
        </w:rPr>
        <w:t>与欧拉定理</w:t>
      </w:r>
    </w:p>
    <w:p w:rsidR="00D678AA" w:rsidRPr="00D678AA" w:rsidRDefault="00D678AA" w:rsidP="00D678AA">
      <w:pPr>
        <w:spacing w:line="276" w:lineRule="auto"/>
        <w:jc w:val="center"/>
        <w:rPr>
          <w:rFonts w:ascii="Calibri" w:eastAsia="KaiTi" w:hAnsi="Calibri" w:cs="Calibri" w:hint="eastAsia"/>
          <w:color w:val="0070C0"/>
          <w:lang w:val="en-US"/>
        </w:rPr>
      </w:pPr>
      <w:r w:rsidRPr="00D678AA">
        <w:rPr>
          <w:rFonts w:ascii="Calibri" w:eastAsia="KaiTi" w:hAnsi="Calibri" w:cs="Calibri"/>
          <w:color w:val="0070C0"/>
          <w:lang w:val="en-US"/>
        </w:rPr>
        <w:drawing>
          <wp:inline distT="0" distB="0" distL="0" distR="0" wp14:anchorId="18AB3341" wp14:editId="6A6C293F">
            <wp:extent cx="4595138" cy="1608757"/>
            <wp:effectExtent l="0" t="0" r="2540" b="4445"/>
            <wp:docPr id="147306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63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0374" cy="163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B4B" w:rsidRDefault="00E61B4B" w:rsidP="00E61B4B">
      <w:pPr>
        <w:pStyle w:val="ListParagraph"/>
        <w:numPr>
          <w:ilvl w:val="0"/>
          <w:numId w:val="3"/>
        </w:numPr>
        <w:rPr>
          <w:rFonts w:ascii="Calibri" w:eastAsia="KaiTi" w:hAnsi="Calibri" w:cs="Calibri"/>
          <w:color w:val="0070C0"/>
          <w:lang w:val="en-US"/>
        </w:rPr>
      </w:pPr>
      <w:r w:rsidRPr="00E61B4B">
        <w:rPr>
          <w:rFonts w:ascii="Calibri" w:eastAsia="KaiTi" w:hAnsi="Calibri" w:cs="Calibri"/>
          <w:color w:val="0070C0"/>
          <w:lang w:val="en-US"/>
        </w:rPr>
        <w:t>有限域</w:t>
      </w:r>
      <w:r w:rsidRPr="00E61B4B">
        <w:rPr>
          <w:rFonts w:ascii="Calibri" w:eastAsia="KaiTi" w:hAnsi="Calibri" w:cs="Calibri"/>
          <w:color w:val="0070C0"/>
          <w:lang w:val="en-US"/>
        </w:rPr>
        <w:t>GF(p)</w:t>
      </w:r>
      <w:r w:rsidRPr="00E61B4B">
        <w:rPr>
          <w:rFonts w:ascii="Calibri" w:eastAsia="KaiTi" w:hAnsi="Calibri" w:cs="Calibri"/>
          <w:color w:val="0070C0"/>
          <w:lang w:val="en-US"/>
        </w:rPr>
        <w:t>上的离散对数</w:t>
      </w:r>
    </w:p>
    <w:p w:rsidR="00E245C5" w:rsidRPr="008E6B69" w:rsidRDefault="008729F9" w:rsidP="008E6B69">
      <w:pPr>
        <w:jc w:val="center"/>
        <w:rPr>
          <w:rFonts w:ascii="Calibri" w:eastAsia="KaiTi" w:hAnsi="Calibri" w:cs="Calibri" w:hint="eastAsia"/>
          <w:color w:val="0070C0"/>
          <w:lang w:val="en-US"/>
        </w:rPr>
      </w:pPr>
      <w:r w:rsidRPr="008729F9">
        <w:rPr>
          <w:rFonts w:ascii="Calibri" w:eastAsia="KaiTi" w:hAnsi="Calibri" w:cs="Calibri"/>
          <w:color w:val="0070C0"/>
          <w:lang w:val="en-US"/>
        </w:rPr>
        <w:drawing>
          <wp:inline distT="0" distB="0" distL="0" distR="0" wp14:anchorId="6B02F0C5" wp14:editId="08C244C9">
            <wp:extent cx="2415581" cy="1173863"/>
            <wp:effectExtent l="0" t="0" r="0" b="0"/>
            <wp:docPr id="29653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37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5025" cy="12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F2" w:rsidRPr="00971708" w:rsidRDefault="00D64AF2" w:rsidP="00D64AF2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971708">
        <w:rPr>
          <w:rFonts w:ascii="Calibri" w:eastAsia="KaiTi" w:hAnsi="Calibri" w:cs="Calibri"/>
          <w:b/>
          <w:bCs/>
          <w:color w:val="0070C0"/>
          <w:lang w:val="en-US"/>
        </w:rPr>
        <w:lastRenderedPageBreak/>
        <w:t>﻿</w:t>
      </w:r>
      <w:r w:rsidRPr="00971708">
        <w:rPr>
          <w:rFonts w:ascii="Calibri" w:eastAsia="KaiTi" w:hAnsi="Calibri" w:cs="Calibri"/>
          <w:b/>
          <w:bCs/>
          <w:color w:val="0070C0"/>
          <w:lang w:val="en-US"/>
        </w:rPr>
        <w:t>三种重要的公钥算法</w:t>
      </w:r>
    </w:p>
    <w:p w:rsidR="008764C3" w:rsidRPr="003D2CD6" w:rsidRDefault="008764C3" w:rsidP="003D2CD6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 w:hint="eastAsia"/>
          <w:color w:val="0070C0"/>
          <w:lang w:val="en-US"/>
        </w:rPr>
      </w:pPr>
      <w:r w:rsidRPr="008764C3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C10C0B">
        <w:rPr>
          <w:rFonts w:ascii="Calibri" w:eastAsia="KaiTi" w:hAnsi="Calibri" w:cs="Calibri"/>
          <w:color w:val="0070C0"/>
          <w:lang w:val="en-US"/>
        </w:rPr>
        <w:t>Diffie-Hellman</w:t>
      </w:r>
      <w:r w:rsidRPr="00C10C0B">
        <w:rPr>
          <w:rFonts w:ascii="Calibri" w:eastAsia="KaiTi" w:hAnsi="Calibri" w:cs="Calibri"/>
          <w:color w:val="0070C0"/>
          <w:lang w:val="en-US"/>
        </w:rPr>
        <w:t>密钥交换算法</w:t>
      </w:r>
    </w:p>
    <w:p w:rsidR="007E2D60" w:rsidRDefault="008764C3" w:rsidP="00683660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70C0"/>
          <w:lang w:val="en-US"/>
        </w:rPr>
      </w:pPr>
      <w:r w:rsidRPr="008764C3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C10C0B">
        <w:rPr>
          <w:rFonts w:ascii="Calibri" w:eastAsia="KaiTi" w:hAnsi="Calibri" w:cs="Calibri"/>
          <w:color w:val="0070C0"/>
          <w:lang w:val="en-US"/>
        </w:rPr>
        <w:t>背包算法</w:t>
      </w:r>
    </w:p>
    <w:p w:rsidR="004A0F02" w:rsidRPr="004A0F02" w:rsidRDefault="00047B3C" w:rsidP="004A0F02">
      <w:pPr>
        <w:spacing w:line="276" w:lineRule="auto"/>
        <w:rPr>
          <w:rFonts w:ascii="Calibri" w:eastAsia="KaiTi" w:hAnsi="Calibri" w:cs="Calibri" w:hint="eastAsia"/>
          <w:color w:val="0070C0"/>
          <w:lang w:val="en-US"/>
        </w:rPr>
      </w:pPr>
      <w:r w:rsidRPr="00047B3C">
        <w:rPr>
          <w:rFonts w:ascii="Calibri" w:eastAsia="KaiTi" w:hAnsi="Calibri" w:cs="Calibri"/>
          <w:color w:val="0070C0"/>
          <w:lang w:val="en-US"/>
        </w:rPr>
        <w:drawing>
          <wp:inline distT="0" distB="0" distL="0" distR="0" wp14:anchorId="61886476" wp14:editId="1CEDCE08">
            <wp:extent cx="5731510" cy="2655570"/>
            <wp:effectExtent l="0" t="0" r="0" b="0"/>
            <wp:docPr id="1857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7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4C3" w:rsidRPr="00C10C0B" w:rsidRDefault="00535515" w:rsidP="002426BB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70C0"/>
          <w:lang w:val="en-US"/>
        </w:rPr>
      </w:pPr>
      <w:r w:rsidRPr="00C10C0B">
        <w:rPr>
          <w:rFonts w:ascii="Calibri" w:eastAsia="KaiTi" w:hAnsi="Calibri" w:cs="Calibri"/>
          <w:color w:val="0070C0"/>
          <w:lang w:val="en-US"/>
        </w:rPr>
        <w:t>﻿</w:t>
      </w:r>
      <w:r w:rsidR="008764C3" w:rsidRPr="00C10C0B">
        <w:rPr>
          <w:rFonts w:ascii="Calibri" w:eastAsia="KaiTi" w:hAnsi="Calibri" w:cs="Calibri"/>
          <w:color w:val="0070C0"/>
          <w:lang w:val="en-US"/>
        </w:rPr>
        <w:t>﻿RSA</w:t>
      </w:r>
      <w:r w:rsidR="008764C3" w:rsidRPr="00C10C0B">
        <w:rPr>
          <w:rFonts w:ascii="Calibri" w:eastAsia="KaiTi" w:hAnsi="Calibri" w:cs="Calibri"/>
          <w:color w:val="0070C0"/>
          <w:lang w:val="en-US"/>
        </w:rPr>
        <w:t>算法</w:t>
      </w:r>
    </w:p>
    <w:p w:rsidR="00D64AF2" w:rsidRDefault="00C24FF8" w:rsidP="00C24FF8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思想：</w:t>
      </w:r>
      <w:r w:rsidR="00F94F7B">
        <w:rPr>
          <w:rFonts w:ascii="Calibri" w:eastAsia="KaiTi" w:hAnsi="Calibri" w:cs="Calibri" w:hint="eastAsia"/>
          <w:color w:val="000000" w:themeColor="text1"/>
          <w:lang w:val="en-US"/>
        </w:rPr>
        <w:t>求乘积简单，分解因子难</w:t>
      </w:r>
    </w:p>
    <w:p w:rsidR="003F425A" w:rsidRPr="003F425A" w:rsidRDefault="003F425A" w:rsidP="003F425A">
      <w:pPr>
        <w:spacing w:line="276" w:lineRule="auto"/>
        <w:jc w:val="center"/>
        <w:rPr>
          <w:rFonts w:ascii="Calibri" w:eastAsia="KaiTi" w:hAnsi="Calibri" w:cs="Calibri"/>
          <w:color w:val="000000" w:themeColor="text1"/>
          <w:lang w:val="en-US"/>
        </w:rPr>
      </w:pPr>
      <w:r w:rsidRPr="003F425A">
        <w:rPr>
          <w:rFonts w:ascii="Calibri" w:eastAsia="KaiTi" w:hAnsi="Calibri" w:cs="Calibri"/>
          <w:color w:val="000000" w:themeColor="text1"/>
          <w:lang w:val="en-US"/>
        </w:rPr>
        <w:drawing>
          <wp:inline distT="0" distB="0" distL="0" distR="0" wp14:anchorId="25ED2D25" wp14:editId="6443C0B3">
            <wp:extent cx="3413108" cy="1986379"/>
            <wp:effectExtent l="0" t="0" r="3810" b="0"/>
            <wp:docPr id="98104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49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1497" cy="20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25A" w:rsidRPr="003F425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38C"/>
    <w:multiLevelType w:val="hybridMultilevel"/>
    <w:tmpl w:val="979A6E9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E3E131D"/>
    <w:multiLevelType w:val="hybridMultilevel"/>
    <w:tmpl w:val="DD2209D8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FF0C38"/>
    <w:multiLevelType w:val="hybridMultilevel"/>
    <w:tmpl w:val="C3505F3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5D4ABB"/>
    <w:multiLevelType w:val="hybridMultilevel"/>
    <w:tmpl w:val="EE3E4D1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15500F7"/>
    <w:multiLevelType w:val="hybridMultilevel"/>
    <w:tmpl w:val="FAE48DBC"/>
    <w:lvl w:ilvl="0" w:tplc="60D08A1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35CA40BE"/>
    <w:multiLevelType w:val="hybridMultilevel"/>
    <w:tmpl w:val="FAE48DBC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43B1144"/>
    <w:multiLevelType w:val="hybridMultilevel"/>
    <w:tmpl w:val="413E3BF2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B7325ED"/>
    <w:multiLevelType w:val="hybridMultilevel"/>
    <w:tmpl w:val="9A3EA534"/>
    <w:lvl w:ilvl="0" w:tplc="BB30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6C71A4D"/>
    <w:multiLevelType w:val="hybridMultilevel"/>
    <w:tmpl w:val="7C86A9FA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5ED676F"/>
    <w:multiLevelType w:val="hybridMultilevel"/>
    <w:tmpl w:val="D1F431C4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8629330">
    <w:abstractNumId w:val="7"/>
  </w:num>
  <w:num w:numId="2" w16cid:durableId="88233185">
    <w:abstractNumId w:val="2"/>
  </w:num>
  <w:num w:numId="3" w16cid:durableId="1432583734">
    <w:abstractNumId w:val="4"/>
  </w:num>
  <w:num w:numId="4" w16cid:durableId="1576819361">
    <w:abstractNumId w:val="1"/>
  </w:num>
  <w:num w:numId="5" w16cid:durableId="1185948136">
    <w:abstractNumId w:val="9"/>
  </w:num>
  <w:num w:numId="6" w16cid:durableId="1223448780">
    <w:abstractNumId w:val="6"/>
  </w:num>
  <w:num w:numId="7" w16cid:durableId="1371035382">
    <w:abstractNumId w:val="8"/>
  </w:num>
  <w:num w:numId="8" w16cid:durableId="911545959">
    <w:abstractNumId w:val="3"/>
  </w:num>
  <w:num w:numId="9" w16cid:durableId="206576053">
    <w:abstractNumId w:val="5"/>
  </w:num>
  <w:num w:numId="10" w16cid:durableId="31129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12"/>
    <w:rsid w:val="00035094"/>
    <w:rsid w:val="00036FF9"/>
    <w:rsid w:val="00047B3C"/>
    <w:rsid w:val="0014087D"/>
    <w:rsid w:val="00157B8D"/>
    <w:rsid w:val="001F76D4"/>
    <w:rsid w:val="00221443"/>
    <w:rsid w:val="002252DC"/>
    <w:rsid w:val="002426BB"/>
    <w:rsid w:val="00272BB6"/>
    <w:rsid w:val="002E0107"/>
    <w:rsid w:val="00333391"/>
    <w:rsid w:val="00365E67"/>
    <w:rsid w:val="003D2CD6"/>
    <w:rsid w:val="003F425A"/>
    <w:rsid w:val="0040032B"/>
    <w:rsid w:val="00405305"/>
    <w:rsid w:val="0040675B"/>
    <w:rsid w:val="004335CF"/>
    <w:rsid w:val="004342CB"/>
    <w:rsid w:val="00440585"/>
    <w:rsid w:val="00496B88"/>
    <w:rsid w:val="004A0F02"/>
    <w:rsid w:val="00525ED1"/>
    <w:rsid w:val="00535515"/>
    <w:rsid w:val="00564F91"/>
    <w:rsid w:val="005B21A3"/>
    <w:rsid w:val="006163E6"/>
    <w:rsid w:val="00624F33"/>
    <w:rsid w:val="00632A84"/>
    <w:rsid w:val="00663B47"/>
    <w:rsid w:val="00670C12"/>
    <w:rsid w:val="00683660"/>
    <w:rsid w:val="0068439F"/>
    <w:rsid w:val="0071103B"/>
    <w:rsid w:val="007631A1"/>
    <w:rsid w:val="007869BB"/>
    <w:rsid w:val="007A0AC1"/>
    <w:rsid w:val="007E2D60"/>
    <w:rsid w:val="007F58B1"/>
    <w:rsid w:val="00831105"/>
    <w:rsid w:val="00862012"/>
    <w:rsid w:val="008729F9"/>
    <w:rsid w:val="008764C3"/>
    <w:rsid w:val="008E6B69"/>
    <w:rsid w:val="00906921"/>
    <w:rsid w:val="00940CBC"/>
    <w:rsid w:val="00971708"/>
    <w:rsid w:val="00A436DB"/>
    <w:rsid w:val="00AD43D6"/>
    <w:rsid w:val="00AE6587"/>
    <w:rsid w:val="00BA63DF"/>
    <w:rsid w:val="00BB3366"/>
    <w:rsid w:val="00BB69F7"/>
    <w:rsid w:val="00BD0CE6"/>
    <w:rsid w:val="00BE4D60"/>
    <w:rsid w:val="00C10C0B"/>
    <w:rsid w:val="00C24FF8"/>
    <w:rsid w:val="00C46D4E"/>
    <w:rsid w:val="00CC51DE"/>
    <w:rsid w:val="00D078AC"/>
    <w:rsid w:val="00D11ABA"/>
    <w:rsid w:val="00D14FB8"/>
    <w:rsid w:val="00D24514"/>
    <w:rsid w:val="00D461DD"/>
    <w:rsid w:val="00D64AF2"/>
    <w:rsid w:val="00D6549A"/>
    <w:rsid w:val="00D678AA"/>
    <w:rsid w:val="00E245C5"/>
    <w:rsid w:val="00E44644"/>
    <w:rsid w:val="00E50340"/>
    <w:rsid w:val="00E61B4B"/>
    <w:rsid w:val="00ED4442"/>
    <w:rsid w:val="00F1531A"/>
    <w:rsid w:val="00F75D46"/>
    <w:rsid w:val="00F90A9C"/>
    <w:rsid w:val="00F94F7B"/>
    <w:rsid w:val="00FB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A080B"/>
  <w15:chartTrackingRefBased/>
  <w15:docId w15:val="{CCED2E74-8CA3-6F4B-AB6E-F6668F0F7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012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20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0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1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1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1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1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1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1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620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0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12"/>
    <w:rPr>
      <w:b/>
      <w:bCs/>
      <w:smallCaps/>
      <w:color w:val="0F4761" w:themeColor="accent1" w:themeShade="BF"/>
      <w:spacing w:val="5"/>
    </w:rPr>
  </w:style>
  <w:style w:type="table" w:styleId="GridTable3-Accent4">
    <w:name w:val="Grid Table 3 Accent 4"/>
    <w:basedOn w:val="TableNormal"/>
    <w:uiPriority w:val="48"/>
    <w:rsid w:val="00632A84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100</cp:revision>
  <dcterms:created xsi:type="dcterms:W3CDTF">2026-01-07T06:34:00Z</dcterms:created>
  <dcterms:modified xsi:type="dcterms:W3CDTF">2026-01-07T09:30:00Z</dcterms:modified>
</cp:coreProperties>
</file>