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0FC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使用试剂：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2667"/>
        <w:gridCol w:w="878"/>
        <w:gridCol w:w="1460"/>
        <w:gridCol w:w="658"/>
        <w:gridCol w:w="1100"/>
        <w:gridCol w:w="659"/>
      </w:tblGrid>
      <w:tr w14:paraId="62B0F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noWrap/>
            <w:vAlign w:val="center"/>
          </w:tcPr>
          <w:p w14:paraId="47689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等线" w:hAnsi="等线" w:eastAsia="等线" w:cs="等线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1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noWrap/>
            <w:vAlign w:val="center"/>
          </w:tcPr>
          <w:p w14:paraId="1A0FA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试剂</w:t>
            </w:r>
          </w:p>
        </w:tc>
        <w:tc>
          <w:tcPr>
            <w:tcW w:w="5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noWrap/>
            <w:vAlign w:val="center"/>
          </w:tcPr>
          <w:p w14:paraId="441A6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厂家</w:t>
            </w: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noWrap/>
            <w:vAlign w:val="center"/>
          </w:tcPr>
          <w:p w14:paraId="16896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货号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noWrap/>
            <w:vAlign w:val="center"/>
          </w:tcPr>
          <w:p w14:paraId="2D2C8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状态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noWrap/>
            <w:vAlign w:val="center"/>
          </w:tcPr>
          <w:p w14:paraId="1886A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储存温度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noWrap/>
            <w:vAlign w:val="center"/>
          </w:tcPr>
          <w:p w14:paraId="6984B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库存</w:t>
            </w:r>
          </w:p>
        </w:tc>
      </w:tr>
      <w:tr w14:paraId="13D6B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8D8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通用</w:t>
            </w:r>
          </w:p>
        </w:tc>
        <w:tc>
          <w:tcPr>
            <w:tcW w:w="1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744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胆固醇标准品</w:t>
            </w:r>
          </w:p>
        </w:tc>
        <w:tc>
          <w:tcPr>
            <w:tcW w:w="5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11B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源叶</w:t>
            </w: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1B8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S23182-25g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CFE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固态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543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-20℃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579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23AF1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1E1309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D6E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无水乙醇</w:t>
            </w:r>
          </w:p>
        </w:tc>
        <w:tc>
          <w:tcPr>
            <w:tcW w:w="5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9BD46D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F209E7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0FE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液态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36B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RT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4DB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27080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608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磷硫铁法</w:t>
            </w:r>
          </w:p>
        </w:tc>
        <w:tc>
          <w:tcPr>
            <w:tcW w:w="1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78C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三氯化铁（FeCl3·6H2O）</w:t>
            </w:r>
          </w:p>
        </w:tc>
        <w:tc>
          <w:tcPr>
            <w:tcW w:w="5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1BEE9C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686E4D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A73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固态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0E8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RT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CE8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08D3C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DD8F5B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5C2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浓磷酸（85%～87%）</w:t>
            </w:r>
          </w:p>
        </w:tc>
        <w:tc>
          <w:tcPr>
            <w:tcW w:w="5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5429C9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A69C4D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F43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液态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893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RT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4FA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76374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B59275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C0A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浓硫酸（AR）</w:t>
            </w:r>
          </w:p>
        </w:tc>
        <w:tc>
          <w:tcPr>
            <w:tcW w:w="5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2744D9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D166C4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00C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液态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4B0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RT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D7B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301F6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34BBCA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913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Na2HPO4·12H2O</w:t>
            </w:r>
          </w:p>
        </w:tc>
        <w:tc>
          <w:tcPr>
            <w:tcW w:w="5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AFB5E8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D497FA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145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固态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256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RT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FB5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31C85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C6A730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24B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NaH2PO4·2H2O</w:t>
            </w:r>
          </w:p>
        </w:tc>
        <w:tc>
          <w:tcPr>
            <w:tcW w:w="5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07708D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FDF79B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98C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固态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EB9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RT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97F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7F92E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E62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酶法</w:t>
            </w:r>
          </w:p>
        </w:tc>
        <w:tc>
          <w:tcPr>
            <w:tcW w:w="1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86C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4-氨基安替比林</w:t>
            </w:r>
          </w:p>
        </w:tc>
        <w:tc>
          <w:tcPr>
            <w:tcW w:w="5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127605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C0AF83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CFB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固态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278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RT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4B2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75F96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A7CEA1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1ED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苯酚</w:t>
            </w:r>
          </w:p>
        </w:tc>
        <w:tc>
          <w:tcPr>
            <w:tcW w:w="5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2B6906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F8EEBE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AA1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固态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5E8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RT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7A6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130EA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F6B450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3C8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 xml:space="preserve">胆酸钠 </w:t>
            </w:r>
          </w:p>
        </w:tc>
        <w:tc>
          <w:tcPr>
            <w:tcW w:w="5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B68DFB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2D17D6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7CD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固态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7BA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RT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4E7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0EE2D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BA720F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159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 xml:space="preserve">Triton X-100 </w:t>
            </w:r>
          </w:p>
        </w:tc>
        <w:tc>
          <w:tcPr>
            <w:tcW w:w="5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2730FD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F09F29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6F7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液态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D54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RT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FE9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6F315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BC89B2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341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胆固醇酯酶CE</w:t>
            </w:r>
          </w:p>
        </w:tc>
        <w:tc>
          <w:tcPr>
            <w:tcW w:w="5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9EA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索莱宝</w:t>
            </w: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520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C9790-1KU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40D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储液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8F8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-20℃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F52C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</w:tr>
      <w:tr w14:paraId="5C3BA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B13369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151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胆固醇氧化酶CHOX</w:t>
            </w:r>
          </w:p>
        </w:tc>
        <w:tc>
          <w:tcPr>
            <w:tcW w:w="5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E57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源叶</w:t>
            </w: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81B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S31003-1KU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A15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储液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28A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-20℃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05E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</w:tr>
      <w:tr w14:paraId="29B1F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AA886A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1C5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过氧化物酶POD</w:t>
            </w:r>
          </w:p>
        </w:tc>
        <w:tc>
          <w:tcPr>
            <w:tcW w:w="5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F6A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索莱宝</w:t>
            </w: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002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P8020-10mg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9BA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储液</w:t>
            </w: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7F8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-20℃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CBE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</w:tr>
      <w:tr w14:paraId="4AB46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B1A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试剂盒</w:t>
            </w:r>
          </w:p>
        </w:tc>
        <w:tc>
          <w:tcPr>
            <w:tcW w:w="15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52E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胆固醇检测试剂盒</w:t>
            </w:r>
          </w:p>
        </w:tc>
        <w:tc>
          <w:tcPr>
            <w:tcW w:w="5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4D07ED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5BCAC9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CABEE9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834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4℃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413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</w:tr>
    </w:tbl>
    <w:p w14:paraId="7119ED53">
      <w:pPr>
        <w:rPr>
          <w:rFonts w:hint="eastAsia" w:eastAsiaTheme="minorEastAsia"/>
          <w:lang w:val="en-US" w:eastAsia="zh-CN"/>
        </w:rPr>
      </w:pPr>
      <w:commentRangeStart w:id="0"/>
      <w:commentRangeStart w:id="1"/>
      <w:r>
        <w:commentReference w:id="0"/>
      </w:r>
      <w:commentRangeStart w:id="2"/>
      <w:commentRangeStart w:id="3"/>
      <w:r>
        <w:commentReference w:id="2"/>
      </w:r>
      <w:commentRangeEnd w:id="2"/>
      <w:commentRangeEnd w:id="3"/>
      <w:r>
        <w:commentReference w:id="3"/>
      </w:r>
      <w:commentRangeEnd w:id="1"/>
      <w:r>
        <w:commentReference w:id="1"/>
      </w:r>
    </w:p>
    <w:p w14:paraId="23B3E0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所需设备：</w:t>
      </w:r>
    </w:p>
    <w:p w14:paraId="1853E2E8">
      <w:pPr>
        <w:numPr>
          <w:ilvl w:val="0"/>
          <w:numId w:val="0"/>
        </w:numPr>
        <w:rPr>
          <w:rFonts w:hint="default"/>
          <w:lang w:val="en-US" w:eastAsia="zh-CN"/>
        </w:rPr>
      </w:pPr>
      <w:commentRangeStart w:id="4"/>
      <w:commentRangeStart w:id="5"/>
      <w:r>
        <w:commentReference w:id="4"/>
      </w:r>
      <w:commentRangeEnd w:id="4"/>
      <w:commentRangeEnd w:id="5"/>
      <w:r>
        <w:commentReference w:id="5"/>
      </w:r>
      <w:r>
        <w:rPr>
          <w:rFonts w:hint="eastAsia"/>
          <w:lang w:val="en-US" w:eastAsia="zh-CN"/>
        </w:rPr>
        <w:t>高速离心机、电动匀浆器、金属浴、酶标仪</w:t>
      </w:r>
      <w:r>
        <w:commentReference w:id="6"/>
      </w:r>
    </w:p>
    <w:p w14:paraId="3608E9A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实验流程</w:t>
      </w:r>
    </w:p>
    <w:p w14:paraId="4B4C458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制备样品</w:t>
      </w:r>
    </w:p>
    <w:p w14:paraId="680EE170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血液样品：测量血液总体积，离心（20000g，4℃，5min），取上清液待用</w:t>
      </w:r>
    </w:p>
    <w:p w14:paraId="1181B86F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肝脏样品：</w:t>
      </w:r>
      <w:r>
        <w:rPr>
          <w:rFonts w:hint="eastAsia"/>
          <w:lang w:val="en-US" w:eastAsia="zh-CN"/>
        </w:rPr>
        <w:t>称量并记录质量，添加1mL</w:t>
      </w:r>
      <w:r>
        <w:rPr>
          <w:rFonts w:hint="default"/>
          <w:lang w:val="en-US" w:eastAsia="zh-CN"/>
        </w:rPr>
        <w:t>电动匀浆</w:t>
      </w:r>
      <w:r>
        <w:rPr>
          <w:rFonts w:hint="eastAsia"/>
          <w:lang w:val="en-US" w:eastAsia="zh-CN"/>
        </w:rPr>
        <w:t>，测量匀浆液总体积减去1cm</w:t>
      </w:r>
      <w:r>
        <w:rPr>
          <w:rFonts w:hint="eastAsia"/>
          <w:vertAlign w:val="superscript"/>
          <w:lang w:val="en-US" w:eastAsia="zh-CN"/>
        </w:rPr>
        <w:t>2</w:t>
      </w:r>
      <w:r>
        <w:rPr>
          <w:rFonts w:hint="eastAsia"/>
          <w:vertAlign w:val="baseline"/>
          <w:lang w:val="en-US" w:eastAsia="zh-CN"/>
        </w:rPr>
        <w:t>即为肝脏样本体积，记录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离心（20000g，4℃，5min）取上清液待用</w:t>
      </w:r>
    </w:p>
    <w:p w14:paraId="6A9B47F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预实验</w:t>
      </w:r>
    </w:p>
    <w:p w14:paraId="5BC09482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探索两种方法下测定胆固醇的线性范围和检测限，制作两种方法下标准胆固醇样品标准浓度曲线。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429"/>
        <w:gridCol w:w="637"/>
        <w:gridCol w:w="606"/>
        <w:gridCol w:w="612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</w:tblGrid>
      <w:tr w14:paraId="402D0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91B984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</w:tcPr>
          <w:p w14:paraId="7164D6E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</w:tcPr>
          <w:p w14:paraId="44958E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0" w:type="auto"/>
          </w:tcPr>
          <w:p w14:paraId="388D4BD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0" w:type="auto"/>
          </w:tcPr>
          <w:p w14:paraId="1FA36E6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0" w:type="auto"/>
          </w:tcPr>
          <w:p w14:paraId="5BCED2C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0" w:type="auto"/>
          </w:tcPr>
          <w:p w14:paraId="287853E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0" w:type="auto"/>
          </w:tcPr>
          <w:p w14:paraId="54EE9494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0" w:type="auto"/>
          </w:tcPr>
          <w:p w14:paraId="54B96FA4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0" w:type="auto"/>
          </w:tcPr>
          <w:p w14:paraId="09DCB558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0" w:type="auto"/>
          </w:tcPr>
          <w:p w14:paraId="0F9A71DD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0" w:type="auto"/>
          </w:tcPr>
          <w:p w14:paraId="2A131130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0" w:type="auto"/>
          </w:tcPr>
          <w:p w14:paraId="00ECE9FB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0" w:type="auto"/>
          </w:tcPr>
          <w:p w14:paraId="5FB7BE01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0" w:type="auto"/>
          </w:tcPr>
          <w:p w14:paraId="6286B863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0" w:type="auto"/>
          </w:tcPr>
          <w:p w14:paraId="49B341C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</w:tr>
      <w:tr w14:paraId="12CDC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A15BC7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标准胆固醇溶液（</w:t>
            </w:r>
            <w:r>
              <w:rPr>
                <w:rFonts w:hint="eastAsia"/>
                <w:lang w:val="en-US" w:eastAsia="zh-CN"/>
              </w:rPr>
              <w:t>100</w:t>
            </w:r>
            <w:r>
              <w:rPr>
                <w:rFonts w:hint="eastAsia"/>
              </w:rPr>
              <w:t>μmol/mL）/μL</w:t>
            </w:r>
          </w:p>
        </w:tc>
        <w:tc>
          <w:tcPr>
            <w:tcW w:w="0" w:type="auto"/>
          </w:tcPr>
          <w:p w14:paraId="1E65624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0" w:type="auto"/>
          </w:tcPr>
          <w:p w14:paraId="5C59E9B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13"/>
                <w:szCs w:val="16"/>
                <w:lang w:val="en-US" w:eastAsia="zh-CN"/>
              </w:rPr>
              <w:t>（稀释1000倍后）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</w:tcPr>
          <w:p w14:paraId="7A100C8F">
            <w:pPr>
              <w:jc w:val="center"/>
              <w:rPr>
                <w:rFonts w:hint="eastAsia"/>
                <w:sz w:val="13"/>
                <w:szCs w:val="16"/>
                <w:lang w:val="en-US" w:eastAsia="zh-CN"/>
              </w:rPr>
            </w:pPr>
            <w:r>
              <w:rPr>
                <w:rFonts w:hint="eastAsia"/>
                <w:sz w:val="13"/>
                <w:szCs w:val="16"/>
                <w:lang w:val="en-US" w:eastAsia="zh-CN"/>
              </w:rPr>
              <w:t>（稀释100倍后）</w:t>
            </w:r>
          </w:p>
          <w:p w14:paraId="4D1F8C94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</w:tcPr>
          <w:p w14:paraId="4E60F609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13"/>
                <w:szCs w:val="16"/>
                <w:lang w:val="en-US" w:eastAsia="zh-CN"/>
              </w:rPr>
              <w:t>（稀释10倍后）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</w:tcPr>
          <w:p w14:paraId="78CBA32A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</w:tcPr>
          <w:p w14:paraId="373F71AD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0" w:type="auto"/>
          </w:tcPr>
          <w:p w14:paraId="1C4D2943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0" w:type="auto"/>
          </w:tcPr>
          <w:p w14:paraId="1F61AE74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0" w:type="auto"/>
          </w:tcPr>
          <w:p w14:paraId="21B7C626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0" w:type="auto"/>
          </w:tcPr>
          <w:p w14:paraId="1DB8E97D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0" w:type="auto"/>
          </w:tcPr>
          <w:p w14:paraId="315D9FB3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0" w:type="auto"/>
          </w:tcPr>
          <w:p w14:paraId="114C67DC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0" w:type="auto"/>
          </w:tcPr>
          <w:p w14:paraId="33A0C7BB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0" w:type="auto"/>
          </w:tcPr>
          <w:p w14:paraId="13B1DC95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</w:t>
            </w:r>
          </w:p>
        </w:tc>
        <w:tc>
          <w:tcPr>
            <w:tcW w:w="0" w:type="auto"/>
          </w:tcPr>
          <w:p w14:paraId="271B45CA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</w:tr>
      <w:tr w14:paraId="3AC8D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FC6626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样品溶液/μL</w:t>
            </w:r>
          </w:p>
        </w:tc>
        <w:tc>
          <w:tcPr>
            <w:tcW w:w="0" w:type="auto"/>
            <w:gridSpan w:val="15"/>
          </w:tcPr>
          <w:p w14:paraId="6E27AE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14:paraId="50A56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B81C11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酶溶液/μL</w:t>
            </w:r>
          </w:p>
        </w:tc>
        <w:tc>
          <w:tcPr>
            <w:tcW w:w="0" w:type="auto"/>
            <w:gridSpan w:val="15"/>
          </w:tcPr>
          <w:p w14:paraId="3674EB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</w:tr>
      <w:tr w14:paraId="6B32A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217ED2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胆固醇缓冲液/μL</w:t>
            </w:r>
          </w:p>
        </w:tc>
        <w:tc>
          <w:tcPr>
            <w:tcW w:w="0" w:type="auto"/>
          </w:tcPr>
          <w:p w14:paraId="2BBFE76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0" w:type="auto"/>
          </w:tcPr>
          <w:p w14:paraId="7C1C5ABD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0" w:type="auto"/>
          </w:tcPr>
          <w:p w14:paraId="66D1F114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0" w:type="auto"/>
          </w:tcPr>
          <w:p w14:paraId="1F1A862D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0" w:type="auto"/>
          </w:tcPr>
          <w:p w14:paraId="579A3421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0" w:type="auto"/>
          </w:tcPr>
          <w:p w14:paraId="51CEB047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</w:t>
            </w:r>
          </w:p>
        </w:tc>
        <w:tc>
          <w:tcPr>
            <w:tcW w:w="0" w:type="auto"/>
          </w:tcPr>
          <w:p w14:paraId="2B22862C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0" w:type="auto"/>
          </w:tcPr>
          <w:p w14:paraId="12FA3581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0" w:type="auto"/>
          </w:tcPr>
          <w:p w14:paraId="647484D6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0" w:type="auto"/>
          </w:tcPr>
          <w:p w14:paraId="544A64FC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0" w:type="auto"/>
          </w:tcPr>
          <w:p w14:paraId="43D13122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0" w:type="auto"/>
          </w:tcPr>
          <w:p w14:paraId="3351F3B7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0" w:type="auto"/>
          </w:tcPr>
          <w:p w14:paraId="758F7216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0" w:type="auto"/>
          </w:tcPr>
          <w:p w14:paraId="3E37D98B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0" w:type="auto"/>
          </w:tcPr>
          <w:p w14:paraId="3AEE1B68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</w:tbl>
    <w:p w14:paraId="43C6B522">
      <w:pPr>
        <w:numPr>
          <w:ilvl w:val="1"/>
          <w:numId w:val="2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别对两种小鼠各3份小鼠血液和各3份肝脏进行样品处理。分别测定不稀释，用胆固醇缓冲液稀释2倍、4倍、8倍、16倍、32倍两个方法下的测定浓度。制作相对曲线（吸光值-稀释倍数曲线）判定线性部分，同时对比仪器线性检测范围，作为未来检测基础。</w:t>
      </w:r>
    </w:p>
    <w:p w14:paraId="3F36419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正式实验</w:t>
      </w:r>
    </w:p>
    <w:p w14:paraId="09689566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标准曲线法：根据预实验检测结果，对ob/ob和wt小鼠分别十二份血液样本和肝脏样本进行处理，并测定预实验线性部分3-5种样品稀释浓度下测定样品浓度，每个样本测定浓度测定进行一次平行实验。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"/>
        <w:gridCol w:w="557"/>
        <w:gridCol w:w="557"/>
        <w:gridCol w:w="557"/>
        <w:gridCol w:w="557"/>
        <w:gridCol w:w="557"/>
        <w:gridCol w:w="557"/>
        <w:gridCol w:w="518"/>
        <w:gridCol w:w="591"/>
        <w:gridCol w:w="591"/>
        <w:gridCol w:w="591"/>
        <w:gridCol w:w="591"/>
        <w:gridCol w:w="592"/>
        <w:gridCol w:w="592"/>
        <w:gridCol w:w="519"/>
      </w:tblGrid>
      <w:tr w14:paraId="170EB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gridSpan w:val="15"/>
          </w:tcPr>
          <w:p w14:paraId="5BCEA77B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样品测定曲线</w:t>
            </w:r>
          </w:p>
        </w:tc>
      </w:tr>
      <w:tr w14:paraId="0FE79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8A2E611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名称</w:t>
            </w:r>
          </w:p>
        </w:tc>
        <w:tc>
          <w:tcPr>
            <w:tcW w:w="0" w:type="auto"/>
          </w:tcPr>
          <w:p w14:paraId="1C610CD2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正常1稀释</w:t>
            </w:r>
            <w:r>
              <w:rPr>
                <w:rFonts w:hint="eastAsia"/>
                <w:b/>
                <w:bCs/>
                <w:sz w:val="15"/>
                <w:szCs w:val="18"/>
                <w:lang w:val="en-US" w:eastAsia="zh-CN"/>
              </w:rPr>
              <w:t>a1</w:t>
            </w:r>
            <w:r>
              <w:rPr>
                <w:rFonts w:hint="eastAsia"/>
                <w:b/>
                <w:bCs/>
                <w:sz w:val="15"/>
                <w:szCs w:val="18"/>
              </w:rPr>
              <w:t>倍</w:t>
            </w:r>
          </w:p>
        </w:tc>
        <w:tc>
          <w:tcPr>
            <w:tcW w:w="0" w:type="auto"/>
          </w:tcPr>
          <w:p w14:paraId="52358478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正常1稀释</w:t>
            </w:r>
            <w:r>
              <w:rPr>
                <w:rFonts w:hint="eastAsia"/>
                <w:b/>
                <w:bCs/>
                <w:sz w:val="15"/>
                <w:szCs w:val="18"/>
                <w:lang w:val="en-US" w:eastAsia="zh-CN"/>
              </w:rPr>
              <w:t>a2</w:t>
            </w:r>
            <w:r>
              <w:rPr>
                <w:rFonts w:hint="eastAsia"/>
                <w:b/>
                <w:bCs/>
                <w:sz w:val="15"/>
                <w:szCs w:val="18"/>
              </w:rPr>
              <w:t>倍</w:t>
            </w:r>
          </w:p>
        </w:tc>
        <w:tc>
          <w:tcPr>
            <w:tcW w:w="0" w:type="auto"/>
          </w:tcPr>
          <w:p w14:paraId="6A27C190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正常</w:t>
            </w:r>
            <w:r>
              <w:rPr>
                <w:rFonts w:hint="eastAsia"/>
                <w:b/>
                <w:bCs/>
                <w:sz w:val="15"/>
                <w:szCs w:val="18"/>
                <w:lang w:val="en-US" w:eastAsia="zh-CN"/>
              </w:rPr>
              <w:t>1</w:t>
            </w:r>
            <w:r>
              <w:rPr>
                <w:rFonts w:hint="eastAsia"/>
                <w:b/>
                <w:bCs/>
                <w:sz w:val="15"/>
                <w:szCs w:val="18"/>
              </w:rPr>
              <w:t>稀释</w:t>
            </w:r>
            <w:r>
              <w:rPr>
                <w:rFonts w:hint="eastAsia"/>
                <w:b/>
                <w:bCs/>
                <w:sz w:val="15"/>
                <w:szCs w:val="18"/>
                <w:lang w:val="en-US" w:eastAsia="zh-CN"/>
              </w:rPr>
              <w:t>a3</w:t>
            </w:r>
            <w:r>
              <w:rPr>
                <w:rFonts w:hint="eastAsia"/>
                <w:b/>
                <w:bCs/>
                <w:sz w:val="15"/>
                <w:szCs w:val="18"/>
              </w:rPr>
              <w:t>倍</w:t>
            </w:r>
          </w:p>
        </w:tc>
        <w:tc>
          <w:tcPr>
            <w:tcW w:w="0" w:type="auto"/>
            <w:vAlign w:val="top"/>
          </w:tcPr>
          <w:p w14:paraId="1239A694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正常</w:t>
            </w:r>
            <w:r>
              <w:rPr>
                <w:rFonts w:hint="eastAsia"/>
                <w:b/>
                <w:bCs/>
                <w:sz w:val="15"/>
                <w:szCs w:val="18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z w:val="15"/>
                <w:szCs w:val="18"/>
              </w:rPr>
              <w:t>稀释</w:t>
            </w:r>
            <w:r>
              <w:rPr>
                <w:rFonts w:hint="eastAsia"/>
                <w:b/>
                <w:bCs/>
                <w:sz w:val="15"/>
                <w:szCs w:val="18"/>
                <w:lang w:val="en-US" w:eastAsia="zh-CN"/>
              </w:rPr>
              <w:t>a1</w:t>
            </w:r>
            <w:r>
              <w:rPr>
                <w:rFonts w:hint="eastAsia"/>
                <w:b/>
                <w:bCs/>
                <w:sz w:val="15"/>
                <w:szCs w:val="18"/>
              </w:rPr>
              <w:t>倍</w:t>
            </w:r>
          </w:p>
        </w:tc>
        <w:tc>
          <w:tcPr>
            <w:tcW w:w="0" w:type="auto"/>
            <w:vAlign w:val="top"/>
          </w:tcPr>
          <w:p w14:paraId="48B83982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正常</w:t>
            </w:r>
            <w:r>
              <w:rPr>
                <w:rFonts w:hint="eastAsia"/>
                <w:b/>
                <w:bCs/>
                <w:sz w:val="15"/>
                <w:szCs w:val="18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z w:val="15"/>
                <w:szCs w:val="18"/>
              </w:rPr>
              <w:t>稀释</w:t>
            </w:r>
            <w:r>
              <w:rPr>
                <w:rFonts w:hint="eastAsia"/>
                <w:b/>
                <w:bCs/>
                <w:sz w:val="15"/>
                <w:szCs w:val="18"/>
                <w:lang w:val="en-US" w:eastAsia="zh-CN"/>
              </w:rPr>
              <w:t>a2</w:t>
            </w:r>
            <w:r>
              <w:rPr>
                <w:rFonts w:hint="eastAsia"/>
                <w:b/>
                <w:bCs/>
                <w:sz w:val="15"/>
                <w:szCs w:val="18"/>
              </w:rPr>
              <w:t>倍</w:t>
            </w:r>
          </w:p>
        </w:tc>
        <w:tc>
          <w:tcPr>
            <w:tcW w:w="0" w:type="auto"/>
            <w:vAlign w:val="top"/>
          </w:tcPr>
          <w:p w14:paraId="5E82FD7A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正常</w:t>
            </w:r>
            <w:r>
              <w:rPr>
                <w:rFonts w:hint="eastAsia"/>
                <w:b/>
                <w:bCs/>
                <w:sz w:val="15"/>
                <w:szCs w:val="18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z w:val="15"/>
                <w:szCs w:val="18"/>
              </w:rPr>
              <w:t>稀释</w:t>
            </w:r>
            <w:r>
              <w:rPr>
                <w:rFonts w:hint="eastAsia"/>
                <w:b/>
                <w:bCs/>
                <w:sz w:val="15"/>
                <w:szCs w:val="18"/>
                <w:lang w:val="en-US" w:eastAsia="zh-CN"/>
              </w:rPr>
              <w:t>a3</w:t>
            </w:r>
            <w:r>
              <w:rPr>
                <w:rFonts w:hint="eastAsia"/>
                <w:b/>
                <w:bCs/>
                <w:sz w:val="15"/>
                <w:szCs w:val="18"/>
              </w:rPr>
              <w:t>倍</w:t>
            </w:r>
          </w:p>
        </w:tc>
        <w:tc>
          <w:tcPr>
            <w:tcW w:w="0" w:type="auto"/>
          </w:tcPr>
          <w:p w14:paraId="11E397F2">
            <w:pPr>
              <w:jc w:val="center"/>
              <w:rPr>
                <w:rFonts w:hint="eastAsia" w:eastAsiaTheme="minorEastAsia"/>
                <w:b/>
                <w:bCs/>
                <w:sz w:val="15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5"/>
                <w:szCs w:val="18"/>
                <w:lang w:eastAsia="zh-CN"/>
              </w:rPr>
              <w:t>……</w:t>
            </w:r>
          </w:p>
        </w:tc>
        <w:tc>
          <w:tcPr>
            <w:tcW w:w="0" w:type="auto"/>
            <w:vAlign w:val="top"/>
          </w:tcPr>
          <w:p w14:paraId="55B26098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ob1稀释</w:t>
            </w:r>
            <w:r>
              <w:rPr>
                <w:rFonts w:hint="eastAsia"/>
                <w:b/>
                <w:bCs/>
                <w:sz w:val="15"/>
                <w:szCs w:val="18"/>
                <w:lang w:val="en-US" w:eastAsia="zh-CN"/>
              </w:rPr>
              <w:t>a1</w:t>
            </w:r>
            <w:r>
              <w:rPr>
                <w:rFonts w:hint="eastAsia"/>
                <w:b/>
                <w:bCs/>
                <w:sz w:val="15"/>
                <w:szCs w:val="18"/>
              </w:rPr>
              <w:t>倍</w:t>
            </w:r>
          </w:p>
        </w:tc>
        <w:tc>
          <w:tcPr>
            <w:tcW w:w="0" w:type="auto"/>
            <w:vAlign w:val="top"/>
          </w:tcPr>
          <w:p w14:paraId="70012373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ob1稀释</w:t>
            </w:r>
            <w:r>
              <w:rPr>
                <w:rFonts w:hint="eastAsia"/>
                <w:b/>
                <w:bCs/>
                <w:sz w:val="15"/>
                <w:szCs w:val="18"/>
                <w:lang w:val="en-US" w:eastAsia="zh-CN"/>
              </w:rPr>
              <w:t>a2</w:t>
            </w:r>
            <w:r>
              <w:rPr>
                <w:rFonts w:hint="eastAsia"/>
                <w:b/>
                <w:bCs/>
                <w:sz w:val="15"/>
                <w:szCs w:val="18"/>
              </w:rPr>
              <w:t>倍</w:t>
            </w:r>
          </w:p>
        </w:tc>
        <w:tc>
          <w:tcPr>
            <w:tcW w:w="0" w:type="auto"/>
            <w:vAlign w:val="top"/>
          </w:tcPr>
          <w:p w14:paraId="4F2264AE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  <w:lang w:val="en-US" w:eastAsia="zh-CN"/>
              </w:rPr>
              <w:t>o</w:t>
            </w:r>
            <w:r>
              <w:rPr>
                <w:rFonts w:hint="eastAsia"/>
                <w:b/>
                <w:bCs/>
                <w:sz w:val="15"/>
                <w:szCs w:val="18"/>
              </w:rPr>
              <w:t>b</w:t>
            </w:r>
            <w:r>
              <w:rPr>
                <w:rFonts w:hint="eastAsia"/>
                <w:b/>
                <w:bCs/>
                <w:sz w:val="15"/>
                <w:szCs w:val="18"/>
                <w:lang w:val="en-US" w:eastAsia="zh-CN"/>
              </w:rPr>
              <w:t>1</w:t>
            </w:r>
            <w:r>
              <w:rPr>
                <w:rFonts w:hint="eastAsia"/>
                <w:b/>
                <w:bCs/>
                <w:sz w:val="15"/>
                <w:szCs w:val="18"/>
              </w:rPr>
              <w:t>稀释</w:t>
            </w:r>
            <w:r>
              <w:rPr>
                <w:rFonts w:hint="eastAsia"/>
                <w:b/>
                <w:bCs/>
                <w:sz w:val="15"/>
                <w:szCs w:val="18"/>
                <w:lang w:val="en-US" w:eastAsia="zh-CN"/>
              </w:rPr>
              <w:t>a3</w:t>
            </w:r>
            <w:r>
              <w:rPr>
                <w:rFonts w:hint="eastAsia"/>
                <w:b/>
                <w:bCs/>
                <w:sz w:val="15"/>
                <w:szCs w:val="18"/>
              </w:rPr>
              <w:t>倍</w:t>
            </w:r>
          </w:p>
        </w:tc>
        <w:tc>
          <w:tcPr>
            <w:tcW w:w="0" w:type="auto"/>
            <w:vAlign w:val="top"/>
          </w:tcPr>
          <w:p w14:paraId="2075AD8A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  <w:lang w:val="en-US" w:eastAsia="zh-CN"/>
              </w:rPr>
              <w:t>o</w:t>
            </w:r>
            <w:r>
              <w:rPr>
                <w:rFonts w:hint="eastAsia"/>
                <w:b/>
                <w:bCs/>
                <w:sz w:val="15"/>
                <w:szCs w:val="18"/>
              </w:rPr>
              <w:t>b</w:t>
            </w:r>
            <w:r>
              <w:rPr>
                <w:rFonts w:hint="eastAsia"/>
                <w:b/>
                <w:bCs/>
                <w:sz w:val="15"/>
                <w:szCs w:val="18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z w:val="15"/>
                <w:szCs w:val="18"/>
              </w:rPr>
              <w:t>稀释</w:t>
            </w:r>
            <w:r>
              <w:rPr>
                <w:rFonts w:hint="eastAsia"/>
                <w:b/>
                <w:bCs/>
                <w:sz w:val="15"/>
                <w:szCs w:val="18"/>
                <w:lang w:val="en-US" w:eastAsia="zh-CN"/>
              </w:rPr>
              <w:t>a1</w:t>
            </w:r>
            <w:r>
              <w:rPr>
                <w:rFonts w:hint="eastAsia"/>
                <w:b/>
                <w:bCs/>
                <w:sz w:val="15"/>
                <w:szCs w:val="18"/>
              </w:rPr>
              <w:t>倍</w:t>
            </w:r>
          </w:p>
        </w:tc>
        <w:tc>
          <w:tcPr>
            <w:tcW w:w="0" w:type="auto"/>
            <w:vAlign w:val="top"/>
          </w:tcPr>
          <w:p w14:paraId="49CBB8E4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  <w:lang w:val="en-US" w:eastAsia="zh-CN"/>
              </w:rPr>
              <w:t>o</w:t>
            </w:r>
            <w:r>
              <w:rPr>
                <w:rFonts w:hint="eastAsia"/>
                <w:b/>
                <w:bCs/>
                <w:sz w:val="15"/>
                <w:szCs w:val="18"/>
              </w:rPr>
              <w:t>b</w:t>
            </w:r>
            <w:r>
              <w:rPr>
                <w:rFonts w:hint="eastAsia"/>
                <w:b/>
                <w:bCs/>
                <w:sz w:val="15"/>
                <w:szCs w:val="18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z w:val="15"/>
                <w:szCs w:val="18"/>
              </w:rPr>
              <w:t>稀释</w:t>
            </w:r>
            <w:r>
              <w:rPr>
                <w:rFonts w:hint="eastAsia"/>
                <w:b/>
                <w:bCs/>
                <w:sz w:val="15"/>
                <w:szCs w:val="18"/>
                <w:lang w:val="en-US" w:eastAsia="zh-CN"/>
              </w:rPr>
              <w:t>a2</w:t>
            </w:r>
            <w:r>
              <w:rPr>
                <w:rFonts w:hint="eastAsia"/>
                <w:b/>
                <w:bCs/>
                <w:sz w:val="15"/>
                <w:szCs w:val="18"/>
              </w:rPr>
              <w:t>倍</w:t>
            </w:r>
          </w:p>
        </w:tc>
        <w:tc>
          <w:tcPr>
            <w:tcW w:w="0" w:type="auto"/>
            <w:vAlign w:val="top"/>
          </w:tcPr>
          <w:p w14:paraId="05D22442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  <w:lang w:val="en-US" w:eastAsia="zh-CN"/>
              </w:rPr>
              <w:t>o</w:t>
            </w:r>
            <w:r>
              <w:rPr>
                <w:rFonts w:hint="eastAsia"/>
                <w:b/>
                <w:bCs/>
                <w:sz w:val="15"/>
                <w:szCs w:val="18"/>
              </w:rPr>
              <w:t>b</w:t>
            </w:r>
            <w:r>
              <w:rPr>
                <w:rFonts w:hint="eastAsia"/>
                <w:b/>
                <w:bCs/>
                <w:sz w:val="15"/>
                <w:szCs w:val="18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z w:val="15"/>
                <w:szCs w:val="18"/>
              </w:rPr>
              <w:t>稀释</w:t>
            </w:r>
            <w:r>
              <w:rPr>
                <w:rFonts w:hint="eastAsia"/>
                <w:b/>
                <w:bCs/>
                <w:sz w:val="15"/>
                <w:szCs w:val="18"/>
                <w:lang w:val="en-US" w:eastAsia="zh-CN"/>
              </w:rPr>
              <w:t>a3</w:t>
            </w:r>
            <w:r>
              <w:rPr>
                <w:rFonts w:hint="eastAsia"/>
                <w:b/>
                <w:bCs/>
                <w:sz w:val="15"/>
                <w:szCs w:val="18"/>
              </w:rPr>
              <w:t>倍</w:t>
            </w:r>
          </w:p>
        </w:tc>
        <w:tc>
          <w:tcPr>
            <w:tcW w:w="0" w:type="auto"/>
          </w:tcPr>
          <w:p w14:paraId="5EA1E2D7">
            <w:pPr>
              <w:jc w:val="center"/>
              <w:rPr>
                <w:rFonts w:hint="eastAsia" w:eastAsiaTheme="minorEastAsia"/>
                <w:b/>
                <w:bCs/>
                <w:sz w:val="15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5"/>
                <w:szCs w:val="18"/>
                <w:lang w:eastAsia="zh-CN"/>
              </w:rPr>
              <w:t>……</w:t>
            </w:r>
          </w:p>
        </w:tc>
      </w:tr>
      <w:tr w14:paraId="374DA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29F8397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标准胆固醇溶液/μL</w:t>
            </w:r>
          </w:p>
        </w:tc>
        <w:tc>
          <w:tcPr>
            <w:tcW w:w="0" w:type="auto"/>
            <w:gridSpan w:val="14"/>
          </w:tcPr>
          <w:p w14:paraId="3B4EDFCF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0</w:t>
            </w:r>
          </w:p>
        </w:tc>
      </w:tr>
      <w:tr w14:paraId="7FB36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01E62B2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样品溶液</w:t>
            </w:r>
          </w:p>
        </w:tc>
        <w:tc>
          <w:tcPr>
            <w:tcW w:w="0" w:type="auto"/>
          </w:tcPr>
          <w:p w14:paraId="00E82470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5</w:t>
            </w:r>
          </w:p>
        </w:tc>
        <w:tc>
          <w:tcPr>
            <w:tcW w:w="0" w:type="auto"/>
          </w:tcPr>
          <w:p w14:paraId="64CA8CB7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5</w:t>
            </w:r>
          </w:p>
        </w:tc>
        <w:tc>
          <w:tcPr>
            <w:tcW w:w="0" w:type="auto"/>
          </w:tcPr>
          <w:p w14:paraId="498532E1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5</w:t>
            </w:r>
          </w:p>
        </w:tc>
        <w:tc>
          <w:tcPr>
            <w:tcW w:w="0" w:type="auto"/>
          </w:tcPr>
          <w:p w14:paraId="15FDC459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5</w:t>
            </w:r>
          </w:p>
        </w:tc>
        <w:tc>
          <w:tcPr>
            <w:tcW w:w="0" w:type="auto"/>
          </w:tcPr>
          <w:p w14:paraId="43623F4E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5</w:t>
            </w:r>
          </w:p>
        </w:tc>
        <w:tc>
          <w:tcPr>
            <w:tcW w:w="0" w:type="auto"/>
          </w:tcPr>
          <w:p w14:paraId="78BCEEAC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5</w:t>
            </w:r>
          </w:p>
        </w:tc>
        <w:tc>
          <w:tcPr>
            <w:tcW w:w="0" w:type="auto"/>
          </w:tcPr>
          <w:p w14:paraId="2E592699">
            <w:pPr>
              <w:jc w:val="center"/>
              <w:rPr>
                <w:rFonts w:hint="eastAsia" w:eastAsiaTheme="minorEastAsia"/>
                <w:b/>
                <w:bCs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z w:val="15"/>
                <w:szCs w:val="18"/>
                <w:lang w:val="en-US" w:eastAsia="zh-CN"/>
              </w:rPr>
              <w:t>-</w:t>
            </w:r>
          </w:p>
        </w:tc>
        <w:tc>
          <w:tcPr>
            <w:tcW w:w="0" w:type="auto"/>
          </w:tcPr>
          <w:p w14:paraId="3177FDC3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5</w:t>
            </w:r>
          </w:p>
        </w:tc>
        <w:tc>
          <w:tcPr>
            <w:tcW w:w="0" w:type="auto"/>
          </w:tcPr>
          <w:p w14:paraId="775B3862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5</w:t>
            </w:r>
          </w:p>
        </w:tc>
        <w:tc>
          <w:tcPr>
            <w:tcW w:w="0" w:type="auto"/>
          </w:tcPr>
          <w:p w14:paraId="3ED00985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5</w:t>
            </w:r>
          </w:p>
        </w:tc>
        <w:tc>
          <w:tcPr>
            <w:tcW w:w="0" w:type="auto"/>
          </w:tcPr>
          <w:p w14:paraId="3D69292F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5</w:t>
            </w:r>
          </w:p>
        </w:tc>
        <w:tc>
          <w:tcPr>
            <w:tcW w:w="0" w:type="auto"/>
          </w:tcPr>
          <w:p w14:paraId="710A4761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5</w:t>
            </w:r>
          </w:p>
        </w:tc>
        <w:tc>
          <w:tcPr>
            <w:tcW w:w="0" w:type="auto"/>
          </w:tcPr>
          <w:p w14:paraId="1CF7B198">
            <w:pPr>
              <w:jc w:val="center"/>
              <w:rPr>
                <w:rFonts w:hint="eastAsia" w:eastAsiaTheme="minorEastAsia"/>
                <w:b/>
                <w:bCs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z w:val="15"/>
                <w:szCs w:val="18"/>
                <w:lang w:val="en-US" w:eastAsia="zh-CN"/>
              </w:rPr>
              <w:t>5</w:t>
            </w:r>
          </w:p>
        </w:tc>
        <w:tc>
          <w:tcPr>
            <w:tcW w:w="0" w:type="auto"/>
          </w:tcPr>
          <w:p w14:paraId="11674C5B">
            <w:pPr>
              <w:jc w:val="center"/>
              <w:rPr>
                <w:rFonts w:hint="default" w:eastAsiaTheme="minorEastAsia"/>
                <w:b/>
                <w:bCs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z w:val="15"/>
                <w:szCs w:val="18"/>
                <w:lang w:val="en-US" w:eastAsia="zh-CN"/>
              </w:rPr>
              <w:t>-</w:t>
            </w:r>
          </w:p>
        </w:tc>
      </w:tr>
      <w:tr w14:paraId="0F909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2BC68AF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酶溶液/μL</w:t>
            </w:r>
          </w:p>
        </w:tc>
        <w:tc>
          <w:tcPr>
            <w:tcW w:w="0" w:type="auto"/>
            <w:gridSpan w:val="14"/>
          </w:tcPr>
          <w:p w14:paraId="6DEAB680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200</w:t>
            </w:r>
          </w:p>
        </w:tc>
      </w:tr>
      <w:tr w14:paraId="3629E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21C7DD2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胆固醇缓冲液/μL</w:t>
            </w:r>
          </w:p>
        </w:tc>
        <w:tc>
          <w:tcPr>
            <w:tcW w:w="0" w:type="auto"/>
          </w:tcPr>
          <w:p w14:paraId="7A13C637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15</w:t>
            </w:r>
          </w:p>
        </w:tc>
        <w:tc>
          <w:tcPr>
            <w:tcW w:w="0" w:type="auto"/>
          </w:tcPr>
          <w:p w14:paraId="63A81F85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15</w:t>
            </w:r>
          </w:p>
        </w:tc>
        <w:tc>
          <w:tcPr>
            <w:tcW w:w="0" w:type="auto"/>
          </w:tcPr>
          <w:p w14:paraId="43CE0EC1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15</w:t>
            </w:r>
          </w:p>
        </w:tc>
        <w:tc>
          <w:tcPr>
            <w:tcW w:w="0" w:type="auto"/>
          </w:tcPr>
          <w:p w14:paraId="5318C8FF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15</w:t>
            </w:r>
          </w:p>
        </w:tc>
        <w:tc>
          <w:tcPr>
            <w:tcW w:w="0" w:type="auto"/>
          </w:tcPr>
          <w:p w14:paraId="78E3B207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15</w:t>
            </w:r>
          </w:p>
        </w:tc>
        <w:tc>
          <w:tcPr>
            <w:tcW w:w="0" w:type="auto"/>
          </w:tcPr>
          <w:p w14:paraId="5231BD1D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15</w:t>
            </w:r>
          </w:p>
        </w:tc>
        <w:tc>
          <w:tcPr>
            <w:tcW w:w="0" w:type="auto"/>
          </w:tcPr>
          <w:p w14:paraId="13526571">
            <w:pPr>
              <w:jc w:val="center"/>
              <w:rPr>
                <w:rFonts w:hint="eastAsia" w:eastAsiaTheme="minorEastAsia"/>
                <w:b/>
                <w:bCs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z w:val="15"/>
                <w:szCs w:val="18"/>
                <w:lang w:val="en-US" w:eastAsia="zh-CN"/>
              </w:rPr>
              <w:t>-</w:t>
            </w:r>
          </w:p>
        </w:tc>
        <w:tc>
          <w:tcPr>
            <w:tcW w:w="0" w:type="auto"/>
          </w:tcPr>
          <w:p w14:paraId="50B69ACA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15</w:t>
            </w:r>
          </w:p>
        </w:tc>
        <w:tc>
          <w:tcPr>
            <w:tcW w:w="0" w:type="auto"/>
          </w:tcPr>
          <w:p w14:paraId="102F37B9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15</w:t>
            </w:r>
          </w:p>
        </w:tc>
        <w:tc>
          <w:tcPr>
            <w:tcW w:w="0" w:type="auto"/>
          </w:tcPr>
          <w:p w14:paraId="0A982039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15</w:t>
            </w:r>
          </w:p>
        </w:tc>
        <w:tc>
          <w:tcPr>
            <w:tcW w:w="0" w:type="auto"/>
          </w:tcPr>
          <w:p w14:paraId="017B2C1B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15</w:t>
            </w:r>
          </w:p>
        </w:tc>
        <w:tc>
          <w:tcPr>
            <w:tcW w:w="0" w:type="auto"/>
          </w:tcPr>
          <w:p w14:paraId="3A2A5F99">
            <w:pPr>
              <w:jc w:val="center"/>
              <w:rPr>
                <w:rFonts w:hint="eastAsia"/>
                <w:b/>
                <w:bCs/>
                <w:sz w:val="15"/>
                <w:szCs w:val="18"/>
              </w:rPr>
            </w:pPr>
            <w:r>
              <w:rPr>
                <w:rFonts w:hint="eastAsia"/>
                <w:b/>
                <w:bCs/>
                <w:sz w:val="15"/>
                <w:szCs w:val="18"/>
              </w:rPr>
              <w:t>15</w:t>
            </w:r>
          </w:p>
        </w:tc>
        <w:tc>
          <w:tcPr>
            <w:tcW w:w="0" w:type="auto"/>
          </w:tcPr>
          <w:p w14:paraId="0ED2A0FE">
            <w:pPr>
              <w:jc w:val="center"/>
              <w:rPr>
                <w:rFonts w:hint="default" w:eastAsiaTheme="minorEastAsia"/>
                <w:b/>
                <w:bCs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z w:val="15"/>
                <w:szCs w:val="18"/>
                <w:lang w:val="en-US" w:eastAsia="zh-CN"/>
              </w:rPr>
              <w:t>15</w:t>
            </w:r>
          </w:p>
        </w:tc>
        <w:tc>
          <w:tcPr>
            <w:tcW w:w="0" w:type="auto"/>
          </w:tcPr>
          <w:p w14:paraId="369768C7">
            <w:pPr>
              <w:jc w:val="center"/>
              <w:rPr>
                <w:rFonts w:hint="default" w:eastAsiaTheme="minorEastAsia"/>
                <w:b/>
                <w:bCs/>
                <w:sz w:val="15"/>
                <w:szCs w:val="18"/>
                <w:lang w:val="en-US" w:eastAsia="zh-CN"/>
              </w:rPr>
            </w:pPr>
            <w:r>
              <w:rPr>
                <w:rFonts w:hint="eastAsia"/>
                <w:b/>
                <w:bCs/>
                <w:sz w:val="15"/>
                <w:szCs w:val="18"/>
                <w:lang w:val="en-US" w:eastAsia="zh-CN"/>
              </w:rPr>
              <w:t>-</w:t>
            </w:r>
          </w:p>
        </w:tc>
      </w:tr>
    </w:tbl>
    <w:p w14:paraId="039361D3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准加入法：选取预实验中处于线性区间中下部的稀释浓度，对ob/ob和wt小鼠分别十二份血液样本和肝脏样本进行处理，并测定该浓度下标准添加五种不同体积胆固醇浓度测定浓度，每个样本添加量测定进行一次平行实验。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2"/>
        <w:gridCol w:w="464"/>
        <w:gridCol w:w="464"/>
        <w:gridCol w:w="462"/>
        <w:gridCol w:w="464"/>
        <w:gridCol w:w="464"/>
        <w:gridCol w:w="464"/>
        <w:gridCol w:w="636"/>
        <w:gridCol w:w="466"/>
        <w:gridCol w:w="466"/>
        <w:gridCol w:w="466"/>
        <w:gridCol w:w="466"/>
        <w:gridCol w:w="467"/>
        <w:gridCol w:w="467"/>
        <w:gridCol w:w="467"/>
        <w:gridCol w:w="637"/>
      </w:tblGrid>
      <w:tr w14:paraId="0E58E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31A5A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</w:tcPr>
          <w:p w14:paraId="416A392F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正常样品</w:t>
            </w:r>
            <w:r>
              <w:rPr>
                <w:rFonts w:hint="eastAsia"/>
              </w:rPr>
              <w:t>1</w:t>
            </w:r>
          </w:p>
        </w:tc>
        <w:tc>
          <w:tcPr>
            <w:tcW w:w="0" w:type="auto"/>
          </w:tcPr>
          <w:p w14:paraId="365AAE3A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正常样品</w:t>
            </w:r>
            <w:r>
              <w:rPr>
                <w:rFonts w:hint="eastAsia"/>
              </w:rPr>
              <w:t>1</w:t>
            </w:r>
          </w:p>
        </w:tc>
        <w:tc>
          <w:tcPr>
            <w:tcW w:w="0" w:type="auto"/>
          </w:tcPr>
          <w:p w14:paraId="273BF34E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正常样品</w:t>
            </w: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vAlign w:val="top"/>
          </w:tcPr>
          <w:p w14:paraId="6C5E67F6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正常样品1</w:t>
            </w:r>
          </w:p>
        </w:tc>
        <w:tc>
          <w:tcPr>
            <w:tcW w:w="0" w:type="auto"/>
            <w:vAlign w:val="top"/>
          </w:tcPr>
          <w:p w14:paraId="55969DAD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正常样品1</w:t>
            </w:r>
          </w:p>
        </w:tc>
        <w:tc>
          <w:tcPr>
            <w:tcW w:w="0" w:type="auto"/>
            <w:vAlign w:val="top"/>
          </w:tcPr>
          <w:p w14:paraId="0179DE04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正常样品2</w:t>
            </w:r>
          </w:p>
        </w:tc>
        <w:tc>
          <w:tcPr>
            <w:tcW w:w="0" w:type="auto"/>
          </w:tcPr>
          <w:p w14:paraId="4F7733D7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……</w:t>
            </w:r>
          </w:p>
        </w:tc>
        <w:tc>
          <w:tcPr>
            <w:tcW w:w="0" w:type="auto"/>
          </w:tcPr>
          <w:p w14:paraId="7FF3C776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ob样品1</w:t>
            </w:r>
          </w:p>
        </w:tc>
        <w:tc>
          <w:tcPr>
            <w:tcW w:w="0" w:type="auto"/>
          </w:tcPr>
          <w:p w14:paraId="4FE9FDED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ob样品1</w:t>
            </w:r>
          </w:p>
        </w:tc>
        <w:tc>
          <w:tcPr>
            <w:tcW w:w="0" w:type="auto"/>
          </w:tcPr>
          <w:p w14:paraId="5970D18C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ob样品1</w:t>
            </w:r>
          </w:p>
        </w:tc>
        <w:tc>
          <w:tcPr>
            <w:tcW w:w="0" w:type="auto"/>
            <w:vAlign w:val="top"/>
          </w:tcPr>
          <w:p w14:paraId="0D11037B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ob样品1</w:t>
            </w:r>
          </w:p>
        </w:tc>
        <w:tc>
          <w:tcPr>
            <w:tcW w:w="0" w:type="auto"/>
            <w:vAlign w:val="top"/>
          </w:tcPr>
          <w:p w14:paraId="0642F77D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ob样品1</w:t>
            </w:r>
          </w:p>
        </w:tc>
        <w:tc>
          <w:tcPr>
            <w:tcW w:w="0" w:type="auto"/>
            <w:vAlign w:val="top"/>
          </w:tcPr>
          <w:p w14:paraId="2B8648A1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ob样品2</w:t>
            </w:r>
          </w:p>
        </w:tc>
        <w:tc>
          <w:tcPr>
            <w:tcW w:w="0" w:type="auto"/>
            <w:vAlign w:val="top"/>
          </w:tcPr>
          <w:p w14:paraId="1C4BB1E5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ob样品2</w:t>
            </w:r>
          </w:p>
        </w:tc>
        <w:tc>
          <w:tcPr>
            <w:tcW w:w="0" w:type="auto"/>
          </w:tcPr>
          <w:p w14:paraId="0AEF95C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……</w:t>
            </w:r>
          </w:p>
        </w:tc>
      </w:tr>
      <w:tr w14:paraId="1BA1B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F9815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标准胆固醇溶液（</w:t>
            </w:r>
            <w:r>
              <w:rPr>
                <w:rFonts w:hint="eastAsia"/>
                <w:lang w:val="en-US" w:eastAsia="zh-CN"/>
              </w:rPr>
              <w:t>50</w:t>
            </w:r>
            <w:r>
              <w:rPr>
                <w:rFonts w:hint="eastAsia"/>
              </w:rPr>
              <w:t>μmol/mL）/μL</w:t>
            </w:r>
          </w:p>
        </w:tc>
        <w:tc>
          <w:tcPr>
            <w:tcW w:w="0" w:type="auto"/>
          </w:tcPr>
          <w:p w14:paraId="070FB936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</w:tcPr>
          <w:p w14:paraId="0B777EB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0" w:type="auto"/>
          </w:tcPr>
          <w:p w14:paraId="0EF34767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0" w:type="auto"/>
          </w:tcPr>
          <w:p w14:paraId="2DC8A80A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0" w:type="auto"/>
          </w:tcPr>
          <w:p w14:paraId="3F618FA6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0" w:type="auto"/>
          </w:tcPr>
          <w:p w14:paraId="4D24892D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</w:tcPr>
          <w:p w14:paraId="1D62E5F9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0" w:type="auto"/>
            <w:vAlign w:val="top"/>
          </w:tcPr>
          <w:p w14:paraId="74F7AAAF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  <w:vAlign w:val="top"/>
          </w:tcPr>
          <w:p w14:paraId="78258045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0" w:type="auto"/>
            <w:vAlign w:val="top"/>
          </w:tcPr>
          <w:p w14:paraId="05141ABA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0" w:type="auto"/>
            <w:vAlign w:val="top"/>
          </w:tcPr>
          <w:p w14:paraId="470D16E3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0" w:type="auto"/>
            <w:vAlign w:val="top"/>
          </w:tcPr>
          <w:p w14:paraId="4DFA0552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0" w:type="auto"/>
            <w:vAlign w:val="top"/>
          </w:tcPr>
          <w:p w14:paraId="5367CFCB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</w:tcPr>
          <w:p w14:paraId="0A23AB67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0" w:type="auto"/>
          </w:tcPr>
          <w:p w14:paraId="015A8CAC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36803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93AB1C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样品溶液/μL</w:t>
            </w:r>
          </w:p>
        </w:tc>
        <w:tc>
          <w:tcPr>
            <w:tcW w:w="0" w:type="auto"/>
            <w:gridSpan w:val="15"/>
          </w:tcPr>
          <w:p w14:paraId="589BE7B2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78BD8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463248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酶溶液/μL</w:t>
            </w:r>
          </w:p>
        </w:tc>
        <w:tc>
          <w:tcPr>
            <w:tcW w:w="0" w:type="auto"/>
            <w:gridSpan w:val="15"/>
          </w:tcPr>
          <w:p w14:paraId="415D23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</w:tr>
      <w:tr w14:paraId="7EB12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515DAB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胆固醇缓冲液/μL</w:t>
            </w:r>
          </w:p>
        </w:tc>
        <w:tc>
          <w:tcPr>
            <w:tcW w:w="0" w:type="auto"/>
          </w:tcPr>
          <w:p w14:paraId="305F4A06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0" w:type="auto"/>
          </w:tcPr>
          <w:p w14:paraId="5FED850B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0" w:type="auto"/>
          </w:tcPr>
          <w:p w14:paraId="51F51E01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0" w:type="auto"/>
          </w:tcPr>
          <w:p w14:paraId="5550CEEC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0" w:type="auto"/>
          </w:tcPr>
          <w:p w14:paraId="17BD0B0C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</w:tcPr>
          <w:p w14:paraId="7861554A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0" w:type="auto"/>
          </w:tcPr>
          <w:p w14:paraId="2EE69D2C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0" w:type="auto"/>
            <w:vAlign w:val="top"/>
          </w:tcPr>
          <w:p w14:paraId="394F4CA4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0" w:type="auto"/>
            <w:vAlign w:val="top"/>
          </w:tcPr>
          <w:p w14:paraId="09284983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0" w:type="auto"/>
            <w:vAlign w:val="top"/>
          </w:tcPr>
          <w:p w14:paraId="363CB7B4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0" w:type="auto"/>
            <w:vAlign w:val="top"/>
          </w:tcPr>
          <w:p w14:paraId="7F3A78DF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0" w:type="auto"/>
            <w:vAlign w:val="top"/>
          </w:tcPr>
          <w:p w14:paraId="5BAE4CDB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0" w:type="auto"/>
          </w:tcPr>
          <w:p w14:paraId="0D81FAF1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0" w:type="auto"/>
          </w:tcPr>
          <w:p w14:paraId="6EC18B8D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0" w:type="auto"/>
          </w:tcPr>
          <w:p w14:paraId="019D55DF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</w:tbl>
    <w:p w14:paraId="669C7AF9">
      <w:pPr>
        <w:numPr>
          <w:numId w:val="0"/>
        </w:numPr>
        <w:ind w:left="420" w:leftChars="0"/>
        <w:rPr>
          <w:rFonts w:hint="default"/>
          <w:lang w:val="en-US" w:eastAsia="zh-CN"/>
        </w:rPr>
      </w:pPr>
    </w:p>
    <w:p w14:paraId="0AB97407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胆固醇检测试剂盒法：根据试剂盒说明书，对于ob/ob和wt小鼠分</w:t>
      </w:r>
      <w:bookmarkStart w:id="0" w:name="_GoBack"/>
      <w:bookmarkEnd w:id="0"/>
      <w:r>
        <w:rPr>
          <w:rFonts w:hint="eastAsia"/>
          <w:lang w:val="en-US" w:eastAsia="zh-CN"/>
        </w:rPr>
        <w:t>别十二份血液样本和肝脏样本测定胆固醇含量。</w:t>
      </w:r>
    </w:p>
    <w:p w14:paraId="07F389F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数据处理</w:t>
      </w:r>
    </w:p>
    <w:p w14:paraId="1A95763C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血液样本根据血液体积直接计算血液中胆固醇样品的浓度。</w:t>
      </w:r>
    </w:p>
    <w:p w14:paraId="3E8813DA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肝脏样品计算质量体积分数或质量分数。</w:t>
      </w:r>
    </w:p>
    <w:p w14:paraId="20E4A25D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通过标准曲线或标准加入曲线计算待测样品浓度，重复实验取平均后不同稀释浓度之间处理后取平均（同一方法内），计算每一样本的平均值、标准差和结果不确定度。</w:t>
      </w:r>
    </w:p>
    <w:p w14:paraId="04A8C5A5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对同一方法下正常小鼠和ob/ob小鼠测得的血液和肝脏胆固醇浓度进行显著性检验（t检验），判断二者之间的显著性差异。</w:t>
      </w:r>
    </w:p>
    <w:p w14:paraId="25662DA5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对同一方法下同一类型小鼠测得的血液和肝脏胆固醇含量分别进行ANOVA检验，判断是否具有显著性差异。</w:t>
      </w:r>
    </w:p>
    <w:p w14:paraId="4C8828CE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对不同方法下血液胆固醇浓度和肝脏胆固醇浓度分别进行ANOVA检验，判断是否具有显著性差异。</w:t>
      </w:r>
    </w:p>
    <w:p w14:paraId="7E375C2B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对于没有显著性差异的方法进行所有未见异常测定样本的平均，并计算结果不确定度。</w:t>
      </w:r>
    </w:p>
    <w:p w14:paraId="2F1004F4">
      <w:pPr>
        <w:numPr>
          <w:numId w:val="0"/>
        </w:numPr>
        <w:ind w:left="420"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XU" w:date="2024-10-29T21:46:52Z" w:initials="">
    <w:p w14:paraId="40FDD540">
      <w:pPr>
        <w:pStyle w:val="2"/>
      </w:pPr>
      <w:r>
        <w:annotationRef/>
      </w:r>
    </w:p>
  </w:comment>
  <w:comment w:id="2" w:author="XU" w:date="2024-10-29T21:47:23Z" w:initials="">
    <w:p w14:paraId="77F7B4E5">
      <w:pPr>
        <w:pStyle w:val="2"/>
      </w:pPr>
      <w:r>
        <w:annotationRef/>
      </w:r>
    </w:p>
  </w:comment>
  <w:comment w:id="3" w:author="XU" w:date="2024-10-29T21:47:24Z" w:initials="">
    <w:p w14:paraId="3CE67088">
      <w:pPr>
        <w:pStyle w:val="2"/>
      </w:pPr>
      <w:r>
        <w:annotationRef/>
      </w:r>
    </w:p>
  </w:comment>
  <w:comment w:id="1" w:author="XU" w:date="2024-10-29T21:46:53Z" w:initials="">
    <w:p w14:paraId="476F22AD">
      <w:pPr>
        <w:pStyle w:val="2"/>
      </w:pPr>
      <w:r>
        <w:annotationRef/>
      </w:r>
    </w:p>
  </w:comment>
  <w:comment w:id="4" w:author="XU" w:date="2024-10-29T21:45:56Z" w:initials="">
    <w:p w14:paraId="3574B96C">
      <w:pPr>
        <w:pStyle w:val="2"/>
      </w:pPr>
      <w:r>
        <w:annotationRef/>
      </w:r>
    </w:p>
  </w:comment>
  <w:comment w:id="5" w:author="XU" w:date="2024-10-29T21:45:59Z" w:initials="">
    <w:p w14:paraId="25234CD2">
      <w:pPr>
        <w:pStyle w:val="2"/>
      </w:pPr>
      <w:r>
        <w:annotationRef/>
      </w:r>
    </w:p>
  </w:comment>
  <w:comment w:id="6" w:author="XU" w:date="2024-10-29T21:46:04Z" w:initials="">
    <w:p w14:paraId="72D2A0DE">
      <w:pPr>
        <w:pStyle w:val="2"/>
      </w:pP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0FDD540" w15:done="0"/>
  <w15:commentEx w15:paraId="77F7B4E5" w15:done="0"/>
  <w15:commentEx w15:paraId="3CE67088" w15:done="0"/>
  <w15:commentEx w15:paraId="476F22AD" w15:done="0"/>
  <w15:commentEx w15:paraId="3574B96C" w15:done="0"/>
  <w15:commentEx w15:paraId="25234CD2" w15:done="0"/>
  <w15:commentEx w15:paraId="72D2A0D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2BD174"/>
    <w:multiLevelType w:val="multilevel"/>
    <w:tmpl w:val="FC2BD174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2D15C9B0"/>
    <w:multiLevelType w:val="multilevel"/>
    <w:tmpl w:val="2D15C9B0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XU">
    <w15:presenceInfo w15:providerId="WPS Office" w15:userId="122233640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1NWJlY2U0OWVkNTk3Y2FhMjIxNjhkM2MwNmFjODMifQ=="/>
  </w:docVars>
  <w:rsids>
    <w:rsidRoot w:val="00000000"/>
    <w:rsid w:val="26EC2B6B"/>
    <w:rsid w:val="27877605"/>
    <w:rsid w:val="5A4F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2024-10-29T13:36:08Z</dcterms:created>
  <dc:creator>13810</dc:creator>
  <cp:lastModifiedBy>XU</cp:lastModifiedBy>
  <dcterms:modified xsi:type="dcterms:W3CDTF">2024-10-29T15:23:36Z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5F3D601724784E13B6F4CB7C64001F4C_12</vt:lpwstr>
  </property>
</Properties>
</file>