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正文"/>
        <w:bidi w:val="0"/>
      </w:pPr>
      <w:r>
        <w:rPr>
          <w:rtl w:val="0"/>
        </w:rPr>
        <w:t xml:space="preserve"> 数据质控流程与方法</w:t>
      </w:r>
    </w:p>
    <w:p>
      <w:pPr>
        <w:pStyle w:val="正文"/>
        <w:bidi w:val="0"/>
      </w:pPr>
    </w:p>
    <w:p>
      <w:pPr>
        <w:pStyle w:val="正文"/>
        <w:numPr>
          <w:ilvl w:val="0"/>
          <w:numId w:val="2"/>
        </w:numPr>
        <w:bidi w:val="0"/>
      </w:pPr>
      <w:r>
        <w:rPr>
          <w:rtl w:val="0"/>
        </w:rPr>
        <w:t>细胞质控</w:t>
      </w:r>
    </w:p>
    <w:p>
      <w:pPr>
        <w:pStyle w:val="正文"/>
        <w:bidi w:val="0"/>
      </w:pPr>
      <w:r>
        <w:rPr>
          <w:rtl w:val="0"/>
        </w:rPr>
        <w:t>首先，通过计算线粒体基因的</w:t>
      </w:r>
      <w:r>
        <w:rPr>
          <w:rFonts w:ascii="PingFang SC Regular" w:hAnsi="PingFang SC Regular"/>
          <w:rtl w:val="0"/>
          <w:lang w:val="fr-FR"/>
        </w:rPr>
        <w:t>UMI</w:t>
      </w:r>
      <w:r>
        <w:rPr>
          <w:rtl w:val="0"/>
        </w:rPr>
        <w:t>总和与该细胞总</w:t>
      </w:r>
      <w:r>
        <w:rPr>
          <w:rFonts w:ascii="PingFang SC Regular" w:hAnsi="PingFang SC Regular"/>
          <w:rtl w:val="0"/>
          <w:lang w:val="fr-FR"/>
        </w:rPr>
        <w:t>UMI</w:t>
      </w:r>
      <w:r>
        <w:rPr>
          <w:rtl w:val="0"/>
        </w:rPr>
        <w:t>的比例得出的每个细胞的线粒体基因表达比例，设定线粒体基因表达比例的阈值为</w:t>
      </w:r>
      <w:r>
        <w:rPr>
          <w:rFonts w:ascii="PingFang SC Regular" w:hAnsi="PingFang SC Regular"/>
          <w:rtl w:val="0"/>
        </w:rPr>
        <w:t>10-15%</w:t>
      </w:r>
      <w:r>
        <w:rPr>
          <w:rtl w:val="0"/>
        </w:rPr>
        <w:t>（线粒体基因比例超过该阈值的细胞可能是处于应激或死亡状态的细胞）。其次，筛选基因数，保留基因数至少为</w:t>
      </w:r>
      <w:r>
        <w:rPr>
          <w:rFonts w:ascii="PingFang SC Regular" w:hAnsi="PingFang SC Regular"/>
          <w:rtl w:val="0"/>
        </w:rPr>
        <w:t>200</w:t>
      </w:r>
      <w:r>
        <w:rPr>
          <w:rtl w:val="0"/>
        </w:rPr>
        <w:t>的细胞，以排除基因数过少的细胞。最后，对</w:t>
      </w:r>
      <w:r>
        <w:rPr>
          <w:rFonts w:ascii="PingFang SC Regular" w:hAnsi="PingFang SC Regular"/>
          <w:rtl w:val="0"/>
          <w:lang w:val="fr-FR"/>
        </w:rPr>
        <w:t>UMI</w:t>
      </w:r>
      <w:r>
        <w:rPr>
          <w:rtl w:val="0"/>
        </w:rPr>
        <w:t>计数进行筛选，剔除</w:t>
      </w:r>
      <w:r>
        <w:rPr>
          <w:rFonts w:ascii="PingFang SC Regular" w:hAnsi="PingFang SC Regular"/>
          <w:rtl w:val="0"/>
          <w:lang w:val="fr-FR"/>
        </w:rPr>
        <w:t>UMI</w:t>
      </w:r>
      <w:r>
        <w:rPr>
          <w:rtl w:val="0"/>
        </w:rPr>
        <w:t>计数少于</w:t>
      </w:r>
      <w:r>
        <w:rPr>
          <w:rFonts w:ascii="PingFang SC Regular" w:hAnsi="PingFang SC Regular"/>
          <w:rtl w:val="0"/>
        </w:rPr>
        <w:t>500</w:t>
      </w:r>
      <w:r>
        <w:rPr>
          <w:rtl w:val="0"/>
        </w:rPr>
        <w:t>的细胞，确保剩余的细胞在转录活性方面符合预期，从而排除低表达活性的细胞。</w:t>
      </w:r>
    </w:p>
    <w:p>
      <w:pPr>
        <w:pStyle w:val="正文"/>
        <w:bidi w:val="0"/>
      </w:pPr>
    </w:p>
    <w:p>
      <w:pPr>
        <w:pStyle w:val="正文"/>
        <w:numPr>
          <w:ilvl w:val="0"/>
          <w:numId w:val="3"/>
        </w:numPr>
        <w:bidi w:val="0"/>
      </w:pPr>
      <w:r>
        <w:rPr>
          <w:rtl w:val="0"/>
        </w:rPr>
        <w:t>基因质控</w:t>
      </w:r>
    </w:p>
    <w:p>
      <w:pPr>
        <w:pStyle w:val="正文"/>
        <w:bidi w:val="0"/>
      </w:pPr>
      <w:r>
        <w:rPr>
          <w:rtl w:val="0"/>
        </w:rPr>
        <w:t>首先，筛选表达各个基因的细胞数，删去表达细胞数不足</w:t>
      </w:r>
      <w:r>
        <w:rPr>
          <w:rFonts w:ascii="PingFang SC Regular" w:hAnsi="PingFang SC Regular"/>
          <w:rtl w:val="0"/>
        </w:rPr>
        <w:t>3</w:t>
      </w:r>
      <w:r>
        <w:rPr>
          <w:rtl w:val="0"/>
        </w:rPr>
        <w:t>的基因。其次，使用基因注释信息识别并剔除数据中的线粒体基因和核糖体基因，以降低非目标基因在数据中的占比，使数据更具针对性。然后，使用</w:t>
      </w:r>
      <w:r>
        <w:rPr>
          <w:rFonts w:ascii="PingFang SC Regular" w:hAnsi="PingFang SC Regular"/>
          <w:rtl w:val="0"/>
        </w:rPr>
        <w:t>Seurat</w:t>
      </w:r>
      <w:r>
        <w:rPr>
          <w:rtl w:val="0"/>
          <w:lang w:val="zh-TW" w:eastAsia="zh-TW"/>
        </w:rPr>
        <w:t>包的</w:t>
      </w:r>
      <w:r>
        <w:rPr>
          <w:rFonts w:ascii="PingFang SC Regular" w:hAnsi="PingFang SC Regular"/>
          <w:rtl w:val="0"/>
          <w:lang w:val="en-US"/>
        </w:rPr>
        <w:t>FindVariableFeatures</w:t>
      </w:r>
      <w:r>
        <w:rPr>
          <w:rtl w:val="0"/>
        </w:rPr>
        <w:t>函数，根据基因表达的方差筛选高变异基因，选择方差在前</w:t>
      </w:r>
      <w:r>
        <w:rPr>
          <w:rFonts w:ascii="PingFang SC Regular" w:hAnsi="PingFang SC Regular"/>
          <w:rtl w:val="0"/>
        </w:rPr>
        <w:t>30%</w:t>
      </w:r>
      <w:r>
        <w:rPr>
          <w:rtl w:val="0"/>
        </w:rPr>
        <w:t>的基因，以提高后续分析的敏感性和分辨率，从而更有效地捕捉细胞间的表达差异。</w:t>
      </w:r>
    </w:p>
    <w:p>
      <w:pPr>
        <w:pStyle w:val="正文"/>
        <w:bidi w:val="0"/>
      </w:pPr>
    </w:p>
    <w:p>
      <w:pPr>
        <w:pStyle w:val="正文"/>
        <w:numPr>
          <w:ilvl w:val="0"/>
          <w:numId w:val="4"/>
        </w:numPr>
        <w:bidi w:val="0"/>
      </w:pPr>
      <w:r>
        <w:rPr>
          <w:rtl w:val="0"/>
        </w:rPr>
        <w:t>批次效应校正</w:t>
      </w:r>
    </w:p>
    <w:p>
      <w:pPr>
        <w:pStyle w:val="正文"/>
        <w:bidi w:val="0"/>
      </w:pPr>
      <w:r>
        <w:rPr>
          <w:rtl w:val="0"/>
        </w:rPr>
        <w:t>由于单细胞</w:t>
      </w:r>
      <w:r>
        <w:rPr>
          <w:rFonts w:ascii="PingFang SC Regular" w:hAnsi="PingFang SC Regular"/>
          <w:rtl w:val="0"/>
          <w:lang w:val="de-DE"/>
        </w:rPr>
        <w:t>RNA</w:t>
      </w:r>
      <w:r>
        <w:rPr>
          <w:rtl w:val="0"/>
        </w:rPr>
        <w:t>测序数据可能会因为不同样本来源或实验条件的差异产生批次效应，这些技术偏差会影响不同细胞间生物学差异的呈现，所以在画出降维聚类的图像之前先剔除批次效应的影响。</w:t>
      </w:r>
    </w:p>
    <w:p>
      <w:pPr>
        <w:pStyle w:val="正文"/>
        <w:bidi w:val="0"/>
      </w:pPr>
      <w:r>
        <w:rPr>
          <w:rtl w:val="0"/>
        </w:rPr>
        <w:t>首先，使用</w:t>
      </w:r>
      <w:r>
        <w:rPr>
          <w:rFonts w:ascii="PingFang SC Regular" w:hAnsi="PingFang SC Regular"/>
          <w:rtl w:val="0"/>
        </w:rPr>
        <w:t>Seurat</w:t>
      </w:r>
      <w:r>
        <w:rPr>
          <w:rtl w:val="0"/>
        </w:rPr>
        <w:t>包的锚点整合方法，通过</w:t>
      </w:r>
      <w:r>
        <w:rPr>
          <w:rFonts w:ascii="PingFang SC Regular" w:hAnsi="PingFang SC Regular"/>
          <w:rtl w:val="0"/>
          <w:lang w:val="it-IT"/>
        </w:rPr>
        <w:t>FindIntegrationAnchors</w:t>
      </w:r>
      <w:r>
        <w:rPr>
          <w:rtl w:val="0"/>
        </w:rPr>
        <w:t>识别不同样本之间的</w:t>
      </w:r>
      <w:r>
        <w:rPr>
          <w:rFonts w:ascii="PingFang SC Regular" w:hAnsi="PingFang SC Regular" w:hint="default"/>
          <w:rtl w:val="1"/>
          <w:lang w:val="ar-SA" w:bidi="ar-SA"/>
        </w:rPr>
        <w:t>“</w:t>
      </w:r>
      <w:r>
        <w:rPr>
          <w:rtl w:val="0"/>
          <w:lang w:val="ja-JP" w:eastAsia="ja-JP"/>
        </w:rPr>
        <w:t>锚点</w:t>
      </w:r>
      <w:r>
        <w:rPr>
          <w:rFonts w:ascii="PingFang SC Regular" w:hAnsi="PingFang SC Regular" w:hint="default"/>
          <w:rtl w:val="0"/>
        </w:rPr>
        <w:t>”</w:t>
      </w:r>
      <w:r>
        <w:rPr>
          <w:rtl w:val="0"/>
        </w:rPr>
        <w:t>细胞，并调用</w:t>
      </w:r>
      <w:r>
        <w:rPr>
          <w:rFonts w:ascii="PingFang SC Regular" w:hAnsi="PingFang SC Regular"/>
          <w:rtl w:val="0"/>
          <w:lang w:val="nl-NL"/>
        </w:rPr>
        <w:t>IntegrateData</w:t>
      </w:r>
      <w:r>
        <w:rPr>
          <w:rtl w:val="0"/>
        </w:rPr>
        <w:t>函数整合数据，以校正批次效应。此外，基于</w:t>
      </w:r>
      <w:r>
        <w:rPr>
          <w:rFonts w:ascii="PingFang SC Regular" w:hAnsi="PingFang SC Regular"/>
          <w:rtl w:val="0"/>
          <w:lang w:val="fr-FR"/>
        </w:rPr>
        <w:t>PCA</w:t>
      </w:r>
      <w:r>
        <w:rPr>
          <w:rtl w:val="0"/>
        </w:rPr>
        <w:t>结果，还可以应用</w:t>
      </w:r>
      <w:r>
        <w:rPr>
          <w:rFonts w:ascii="PingFang SC Regular" w:hAnsi="PingFang SC Regular"/>
          <w:rtl w:val="0"/>
        </w:rPr>
        <w:t>Harmony</w:t>
      </w:r>
      <w:r>
        <w:rPr>
          <w:rtl w:val="0"/>
        </w:rPr>
        <w:t>校正工具，对各个</w:t>
      </w:r>
      <w:r>
        <w:rPr>
          <w:rFonts w:ascii="PingFang SC Regular" w:hAnsi="PingFang SC Regular"/>
          <w:rtl w:val="0"/>
          <w:lang w:val="en-US"/>
        </w:rPr>
        <w:t>batch</w:t>
      </w:r>
      <w:r>
        <w:rPr>
          <w:rtl w:val="0"/>
        </w:rPr>
        <w:t>进行校正，以进一步减少批次效应对后续分析的影响。</w:t>
      </w:r>
    </w:p>
    <w:p>
      <w:pPr>
        <w:pStyle w:val="正文"/>
        <w:bidi w:val="0"/>
      </w:pPr>
    </w:p>
    <w:p>
      <w:pPr>
        <w:pStyle w:val="正文"/>
        <w:numPr>
          <w:ilvl w:val="0"/>
          <w:numId w:val="5"/>
        </w:numPr>
        <w:bidi w:val="0"/>
      </w:pPr>
      <w:r>
        <w:rPr>
          <w:rtl w:val="0"/>
        </w:rPr>
        <w:t>降维分析</w:t>
      </w:r>
    </w:p>
    <w:p>
      <w:pPr>
        <w:pStyle w:val="正文"/>
        <w:bidi w:val="0"/>
      </w:pPr>
      <w:r>
        <w:rPr>
          <w:rtl w:val="0"/>
        </w:rPr>
        <w:t>由于单细胞</w:t>
      </w:r>
      <w:r>
        <w:rPr>
          <w:rFonts w:ascii="PingFang SC Regular" w:hAnsi="PingFang SC Regular"/>
          <w:rtl w:val="0"/>
          <w:lang w:val="de-DE"/>
        </w:rPr>
        <w:t>RNA</w:t>
      </w:r>
      <w:r>
        <w:rPr>
          <w:rtl w:val="0"/>
        </w:rPr>
        <w:t>测序数据通常包含高维度的基因表达信息，降维分析可以提取出主要的变异特征，将高维数据投射到低维空间中，便于数据的可视化和后续聚类分析。</w:t>
      </w:r>
    </w:p>
    <w:p>
      <w:pPr>
        <w:pStyle w:val="正文"/>
        <w:bidi w:val="0"/>
      </w:pPr>
      <w:r>
        <w:rPr>
          <w:rtl w:val="0"/>
        </w:rPr>
        <w:t>在降维分析之前，首先使用</w:t>
      </w:r>
      <w:r>
        <w:rPr>
          <w:rFonts w:ascii="PingFang SC Regular" w:hAnsi="PingFang SC Regular"/>
          <w:rtl w:val="0"/>
          <w:lang w:val="nl-NL"/>
        </w:rPr>
        <w:t>ScaleData</w:t>
      </w:r>
      <w:r>
        <w:rPr>
          <w:rtl w:val="0"/>
        </w:rPr>
        <w:t>对筛选出的高变基因进行标准化，以消除不同基因表达量级的差异。接着，使用</w:t>
      </w:r>
      <w:r>
        <w:rPr>
          <w:rFonts w:ascii="PingFang SC Regular" w:hAnsi="PingFang SC Regular"/>
          <w:rtl w:val="0"/>
          <w:lang w:val="fr-FR"/>
        </w:rPr>
        <w:t>RunPCA</w:t>
      </w:r>
      <w:r>
        <w:rPr>
          <w:rtl w:val="0"/>
        </w:rPr>
        <w:t>进行主成分分析（</w:t>
      </w:r>
      <w:r>
        <w:rPr>
          <w:rFonts w:ascii="PingFang SC Regular" w:hAnsi="PingFang SC Regular"/>
          <w:rtl w:val="0"/>
          <w:lang w:val="fr-FR"/>
        </w:rPr>
        <w:t>PCA</w:t>
      </w:r>
      <w:r>
        <w:rPr>
          <w:rtl w:val="0"/>
        </w:rPr>
        <w:t>），提取前</w:t>
      </w:r>
      <w:r>
        <w:rPr>
          <w:rFonts w:ascii="PingFang SC Regular" w:hAnsi="PingFang SC Regular"/>
          <w:rtl w:val="0"/>
        </w:rPr>
        <w:t>50</w:t>
      </w:r>
      <w:r>
        <w:rPr>
          <w:rtl w:val="0"/>
        </w:rPr>
        <w:t>个主成分捕捉数据中的主要变异特征。最后，利用</w:t>
      </w:r>
      <w:r>
        <w:rPr>
          <w:rFonts w:ascii="PingFang SC Regular" w:hAnsi="PingFang SC Regular"/>
          <w:rtl w:val="0"/>
        </w:rPr>
        <w:t>t-SNE</w:t>
      </w:r>
      <w:r>
        <w:rPr>
          <w:rtl w:val="0"/>
        </w:rPr>
        <w:t>和</w:t>
      </w:r>
      <w:r>
        <w:rPr>
          <w:rFonts w:ascii="PingFang SC Regular" w:hAnsi="PingFang SC Regular"/>
          <w:rtl w:val="0"/>
          <w:lang w:val="fr-FR"/>
        </w:rPr>
        <w:t>UMAP</w:t>
      </w:r>
      <w:r>
        <w:rPr>
          <w:rtl w:val="0"/>
        </w:rPr>
        <w:t>等非线性降维方法生成二维或三维图。</w:t>
      </w:r>
    </w:p>
    <w:p>
      <w:pPr>
        <w:pStyle w:val="正文"/>
        <w:bidi w:val="0"/>
      </w:pPr>
    </w:p>
    <w:p>
      <w:pPr>
        <w:pStyle w:val="正文"/>
        <w:numPr>
          <w:ilvl w:val="0"/>
          <w:numId w:val="6"/>
        </w:numPr>
        <w:bidi w:val="0"/>
      </w:pPr>
      <w:r>
        <w:rPr>
          <w:rtl w:val="0"/>
        </w:rPr>
        <w:t>聚类分析与基因调控网络分析</w:t>
      </w:r>
    </w:p>
    <w:p>
      <w:pPr>
        <w:pStyle w:val="正文"/>
        <w:bidi w:val="0"/>
      </w:pPr>
      <w:r>
        <w:rPr>
          <w:rtl w:val="0"/>
        </w:rPr>
        <w:t>（</w:t>
      </w:r>
      <w:r>
        <w:rPr>
          <w:rFonts w:ascii="PingFang SC Regular" w:hAnsi="PingFang SC Regular"/>
          <w:rtl w:val="0"/>
        </w:rPr>
        <w:t>1</w:t>
      </w:r>
      <w:r>
        <w:rPr>
          <w:rtl w:val="0"/>
        </w:rPr>
        <w:t>）基于</w:t>
      </w:r>
      <w:r>
        <w:rPr>
          <w:rFonts w:ascii="PingFang SC Regular" w:hAnsi="PingFang SC Regular"/>
          <w:rtl w:val="0"/>
          <w:lang w:val="fr-FR"/>
        </w:rPr>
        <w:t>PCA</w:t>
      </w:r>
      <w:r>
        <w:rPr>
          <w:rtl w:val="0"/>
        </w:rPr>
        <w:t>降维结果，调用</w:t>
      </w:r>
      <w:r>
        <w:rPr>
          <w:rFonts w:ascii="PingFang SC Regular" w:hAnsi="PingFang SC Regular"/>
          <w:rtl w:val="0"/>
        </w:rPr>
        <w:t>Seurat</w:t>
      </w:r>
      <w:r>
        <w:rPr>
          <w:rtl w:val="0"/>
        </w:rPr>
        <w:t>包中的</w:t>
      </w:r>
      <w:r>
        <w:rPr>
          <w:rFonts w:ascii="PingFang SC Regular" w:hAnsi="PingFang SC Regular"/>
          <w:rtl w:val="0"/>
        </w:rPr>
        <w:t>FindClusters</w:t>
      </w:r>
      <w:r>
        <w:rPr>
          <w:rtl w:val="0"/>
        </w:rPr>
        <w:t>函数执行细胞聚类，利用</w:t>
      </w:r>
      <w:r>
        <w:rPr>
          <w:rFonts w:ascii="PingFang SC Regular" w:hAnsi="PingFang SC Regular"/>
          <w:rtl w:val="0"/>
          <w:lang w:val="fr-FR"/>
        </w:rPr>
        <w:t>Louvain</w:t>
      </w:r>
      <w:r>
        <w:rPr>
          <w:rtl w:val="0"/>
        </w:rPr>
        <w:t>算法等聚类方法将表达特征相似的细胞划分为相同的群体。在此基础上，可结合标记基因分析识别各个细胞类型，以便更好地理解不同年龄段果蝇大脑神经细胞的特性和组成。</w:t>
      </w:r>
    </w:p>
    <w:p>
      <w:pPr>
        <w:pStyle w:val="正文"/>
        <w:bidi w:val="0"/>
      </w:pPr>
      <w:r>
        <w:rPr>
          <w:rtl w:val="0"/>
        </w:rPr>
        <w:t>（</w:t>
      </w:r>
      <w:r>
        <w:rPr>
          <w:rFonts w:ascii="PingFang SC Regular" w:hAnsi="PingFang SC Regular"/>
          <w:rtl w:val="0"/>
        </w:rPr>
        <w:t>2</w:t>
      </w:r>
      <w:r>
        <w:rPr>
          <w:rtl w:val="0"/>
        </w:rPr>
        <w:t>）我们主要使用</w:t>
      </w:r>
      <w:r>
        <w:rPr>
          <w:rFonts w:ascii="PingFang SC Regular" w:hAnsi="PingFang SC Regular"/>
          <w:rtl w:val="0"/>
          <w:lang w:val="de-DE"/>
        </w:rPr>
        <w:t>SCENIC</w:t>
      </w:r>
      <w:r>
        <w:rPr>
          <w:rtl w:val="0"/>
        </w:rPr>
        <w:t>分析用于识别主要的转录调控因子及其调控网络。首先，利用</w:t>
      </w:r>
      <w:r>
        <w:rPr>
          <w:rFonts w:ascii="PingFang SC Regular" w:hAnsi="PingFang SC Regular"/>
          <w:rtl w:val="0"/>
          <w:lang w:val="de-DE"/>
        </w:rPr>
        <w:t>GENIE3</w:t>
      </w:r>
      <w:r>
        <w:rPr>
          <w:rtl w:val="0"/>
        </w:rPr>
        <w:t>或</w:t>
      </w:r>
      <w:r>
        <w:rPr>
          <w:rFonts w:ascii="PingFang SC Regular" w:hAnsi="PingFang SC Regular"/>
          <w:rtl w:val="0"/>
          <w:lang w:val="en-US"/>
        </w:rPr>
        <w:t>GRNBoost2</w:t>
      </w:r>
      <w:r>
        <w:rPr>
          <w:rtl w:val="0"/>
        </w:rPr>
        <w:t>工具构建基因共表达网络，识别潜在的转录因子调控的基因模块。然后，通过</w:t>
      </w:r>
      <w:r>
        <w:rPr>
          <w:rFonts w:ascii="PingFang SC Regular" w:hAnsi="PingFang SC Regular"/>
          <w:rtl w:val="0"/>
          <w:lang w:val="de-DE"/>
        </w:rPr>
        <w:t>AUCell</w:t>
      </w:r>
      <w:r>
        <w:rPr>
          <w:rtl w:val="0"/>
        </w:rPr>
        <w:t>算法计算每个细胞的调控子活性评分，生成调控子活性矩阵。基于该矩阵，使用</w:t>
      </w:r>
      <w:r>
        <w:rPr>
          <w:rFonts w:ascii="PingFang SC Regular" w:hAnsi="PingFang SC Regular"/>
          <w:rtl w:val="0"/>
        </w:rPr>
        <w:t>t-SNE</w:t>
      </w:r>
      <w:r>
        <w:rPr>
          <w:rtl w:val="0"/>
        </w:rPr>
        <w:t>或</w:t>
      </w:r>
      <w:r>
        <w:rPr>
          <w:rFonts w:ascii="PingFang SC Regular" w:hAnsi="PingFang SC Regular"/>
          <w:rtl w:val="0"/>
          <w:lang w:val="fr-FR"/>
        </w:rPr>
        <w:t>UMAP</w:t>
      </w:r>
      <w:r>
        <w:rPr>
          <w:rtl w:val="0"/>
        </w:rPr>
        <w:t>进行降维分析，将调控子活性模式与细胞类型和年龄段的变化相关联。最终，利用热图或</w:t>
      </w:r>
      <w:r>
        <w:rPr>
          <w:rFonts w:ascii="PingFang SC Regular" w:hAnsi="PingFang SC Regular"/>
          <w:rtl w:val="0"/>
          <w:lang w:val="fr-FR"/>
        </w:rPr>
        <w:t>UMAP</w:t>
      </w:r>
      <w:r>
        <w:rPr>
          <w:rtl w:val="0"/>
        </w:rPr>
        <w:t>图展示不同细胞群体的调控子活性模式，从而深入分析果蝇大脑神经细胞中关键转录因子的调控作用。</w:t>
      </w:r>
    </w:p>
    <w:p>
      <w:pPr>
        <w:pStyle w:val="正文"/>
        <w:bidi w:val="0"/>
      </w:pPr>
      <w:r>
        <w:rPr>
          <w:rtl w:val="0"/>
        </w:rPr>
        <w:t>（</w:t>
      </w:r>
      <w:r>
        <w:rPr>
          <w:rFonts w:ascii="PingFang SC Regular" w:hAnsi="PingFang SC Regular"/>
          <w:rtl w:val="0"/>
        </w:rPr>
        <w:t>3</w:t>
      </w:r>
      <w:r>
        <w:rPr>
          <w:rtl w:val="0"/>
        </w:rPr>
        <w:t>）通过比较与研究两张图的结果与相关基因在不同细胞类群中的的表达量，尝试获得初步结果。</w:t>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PingFang SC Regular">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编号"/>
  </w:abstractNum>
  <w:abstractNum w:abstractNumId="1">
    <w:multiLevelType w:val="hybridMultilevel"/>
    <w:styleLink w:val="编号"/>
    <w:lvl w:ilvl="0">
      <w:start w:val="1"/>
      <w:numFmt w:val="decimal"/>
      <w:suff w:val="tab"/>
      <w:lvlText w:val="%1."/>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0"/>
    <w:lvlOverride w:ilvl="0">
      <w:startOverride w:val="2"/>
    </w:lvlOverride>
  </w:num>
  <w:num w:numId="4">
    <w:abstractNumId w:val="0"/>
    <w:lvlOverride w:ilvl="0">
      <w:startOverride w:val="3"/>
    </w:lvlOverride>
  </w:num>
  <w:num w:numId="5">
    <w:abstractNumId w:val="0"/>
    <w:lvlOverride w:ilvl="0">
      <w:startOverride w:val="4"/>
    </w:lvlOverride>
  </w:num>
  <w:num w:numId="6">
    <w:abstractNumId w:val="0"/>
    <w:lvlOverride w:ilvl="0">
      <w:startOverride w:val="5"/>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中文" w:val="‘“(〔[{〈《「『【⦅〘〖«〝︵︷︹︻︽︿﹁﹃﹇﹙﹛﹝｢"/>
  <w:noLineBreaksBefore w:lang="中文"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正文">
    <w:name w:val="正文"/>
    <w:next w:val="正文"/>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Arial Unicode MS" w:cs="Arial Unicode MS" w:hAnsi="Arial Unicode MS" w:eastAsia="Arial Unicode MS" w:hint="eastAsia"/>
      <w:b w:val="0"/>
      <w:bCs w:val="0"/>
      <w:i w:val="0"/>
      <w:iCs w:val="0"/>
      <w:caps w:val="0"/>
      <w:smallCaps w:val="0"/>
      <w:strike w:val="0"/>
      <w:dstrike w:val="0"/>
      <w:outline w:val="0"/>
      <w:color w:val="000000"/>
      <w:spacing w:val="0"/>
      <w:kern w:val="0"/>
      <w:position w:val="0"/>
      <w:sz w:val="22"/>
      <w:szCs w:val="22"/>
      <w:u w:val="none"/>
      <w:shd w:val="nil" w:color="auto" w:fill="auto"/>
      <w:vertAlign w:val="baseline"/>
      <w:lang w:val="zh-CN" w:eastAsia="zh-CN"/>
      <w14:textOutline>
        <w14:noFill/>
      </w14:textOutline>
      <w14:textFill>
        <w14:solidFill>
          <w14:srgbClr w14:val="000000"/>
        </w14:solidFill>
      </w14:textFill>
    </w:rPr>
  </w:style>
  <w:style w:type="numbering" w:styleId="编号">
    <w:name w:val="编号"/>
    <w:pPr>
      <w:numPr>
        <w:numId w:val="1"/>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PingFang SC Semibold"/>
        <a:ea typeface="PingFang SC Semibold"/>
        <a:cs typeface="PingFang SC Semibold"/>
      </a:majorFont>
      <a:minorFont>
        <a:latin typeface="PingFang SC Regular"/>
        <a:ea typeface="PingFang SC Regular"/>
        <a:cs typeface="PingFang SC Regular"/>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PingFang SC Medium"/>
            <a:ea typeface="PingFang SC Medium"/>
            <a:cs typeface="PingFang SC Medium"/>
            <a:sym typeface="PingFang SC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PingFang SC Regular"/>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