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lang w:eastAsia="zh-CN"/>
        </w:rPr>
      </w:pPr>
      <w:r>
        <w:rPr>
          <w:rFonts w:hint="eastAsia"/>
          <w:lang w:eastAsia="zh-CN"/>
        </w:rPr>
        <w:t>研究背景（本文稿</w:t>
      </w:r>
      <w:bookmarkStart w:id="0" w:name="_GoBack"/>
      <w:bookmarkEnd w:id="0"/>
      <w:r>
        <w:rPr>
          <w:rFonts w:hint="eastAsia"/>
          <w:lang w:eastAsia="zh-CN"/>
        </w:rPr>
        <w:t>纯gpt）</w:t>
      </w:r>
    </w:p>
    <w:p>
      <w:pPr>
        <w:rPr>
          <w:rFonts w:hint="eastAsia"/>
        </w:rPr>
      </w:pPr>
      <w:r>
        <w:rPr>
          <w:rFonts w:hint="eastAsia"/>
        </w:rPr>
        <w:t>大脑中的复杂功能依赖于多样化的神经元和胶质细胞类型，这些细胞类型在衰老过程中会发生动态变化。单细胞RNA测序（scRNA-seq）等单细胞技术的发展，使得科学家能够对大脑细胞的多样性和细胞间的调控状态进行更精细的分析。已有的研究中，基于小鼠和斑马鱼的发育大脑，或是成体果蝇大脑的部分区域，单细胞测序揭示了许多独特的细胞类型。然而，目前尚缺乏跨越个体生命周期、涵盖完整成体大脑的单细胞转录组图谱。</w:t>
      </w:r>
    </w:p>
    <w:p>
      <w:pPr>
        <w:rPr>
          <w:rFonts w:hint="eastAsia"/>
        </w:rPr>
      </w:pPr>
    </w:p>
    <w:p>
      <w:pPr>
        <w:rPr>
          <w:rFonts w:hint="eastAsia"/>
        </w:rPr>
      </w:pPr>
      <w:r>
        <w:rPr>
          <w:rFonts w:hint="eastAsia"/>
        </w:rPr>
        <w:t>果蝇作为研究对象，因其大脑结构相对简单但行为表现复杂，成为理想的模型生物。其大脑包含约10万细胞，其中大部分为神经元，细胞类型可以通过形态、连接方式及行为控制功能加以区分。然而，这些细胞类型在基因表达和调控网络层面上的特性还不完全清楚。特别是，不同复杂性、连接方式及行为功能的神经元回路，是否通过不同的调控网络维持功能，尚属未知。除了单个细胞类型的转录组特征之外，大脑是否存在跨越多个神经元亚型的“调控状态”，以及在整个生命周期中这些状态如何变化，也亟待进一步探究。</w:t>
      </w:r>
    </w:p>
    <w:p>
      <w:pPr>
        <w:rPr>
          <w:rFonts w:hint="eastAsia"/>
        </w:rPr>
      </w:pPr>
    </w:p>
    <w:p>
      <w:pPr>
        <w:rPr>
          <w:rFonts w:hint="eastAsia"/>
        </w:rPr>
      </w:pPr>
      <w:r>
        <w:rPr>
          <w:rFonts w:hint="eastAsia"/>
        </w:rPr>
        <w:t>此外，衰老过程会导致大脑细胞中RNA含量逐步下降，伴随一些功能的退化，但细胞身份通常能够保持相对稳定。因此，系统性的、无偏的全脑单细胞测序，有望揭示大脑在衰老过程中细胞与调控基础的变化，为理解认知和生理功能的逐渐丧失提供更深入的见解。</w:t>
      </w:r>
    </w:p>
    <w:p>
      <w:pPr>
        <w:rPr>
          <w:rFonts w:hint="eastAsia"/>
        </w:rPr>
      </w:pPr>
    </w:p>
    <w:p>
      <w:pPr>
        <w:rPr>
          <w:rFonts w:hint="eastAsia"/>
        </w:rPr>
      </w:pPr>
    </w:p>
    <w:p>
      <w:pPr>
        <w:rPr>
          <w:rFonts w:hint="eastAsia"/>
        </w:rPr>
      </w:pPr>
      <w:r>
        <w:rPr>
          <w:rFonts w:hint="eastAsia"/>
        </w:rPr>
        <w:t>科学问题</w:t>
      </w:r>
      <w:r>
        <w:rPr>
          <w:rFonts w:hint="eastAsia"/>
          <w:lang w:eastAsia="zh-CN"/>
        </w:rPr>
        <w:t>：</w:t>
      </w:r>
    </w:p>
    <w:p>
      <w:pPr>
        <w:rPr>
          <w:rFonts w:hint="eastAsia"/>
        </w:rPr>
      </w:pPr>
    </w:p>
    <w:p>
      <w:pPr>
        <w:rPr>
          <w:rFonts w:hint="eastAsia"/>
        </w:rPr>
      </w:pPr>
      <w:r>
        <w:rPr>
          <w:rFonts w:hint="eastAsia"/>
        </w:rPr>
        <w:t>衰老过程中调控网络的变化是否存在细胞类型特异性？</w:t>
      </w:r>
    </w:p>
    <w:p>
      <w:pPr>
        <w:rPr>
          <w:rFonts w:hint="eastAsia"/>
        </w:rPr>
      </w:pPr>
      <w:r>
        <w:rPr>
          <w:rFonts w:hint="eastAsia"/>
        </w:rPr>
        <w:t>果蝇不同神经元亚型或胶质细胞亚型的基因调控网络在衰老过程中是否表现出不同的变化模式？这种差异是否与不同细胞类型在衰老中的功能变化有关？</w:t>
      </w:r>
    </w:p>
    <w:p>
      <w:pPr>
        <w:rPr>
          <w:rFonts w:hint="eastAsia"/>
        </w:rPr>
      </w:pPr>
    </w:p>
    <w:p>
      <w:pPr>
        <w:rPr>
          <w:rFonts w:hint="eastAsia"/>
        </w:rPr>
      </w:pPr>
      <w:r>
        <w:rPr>
          <w:rFonts w:hint="eastAsia"/>
        </w:rPr>
        <w:t>神经元与胶质细胞之间的相互作用如何在衰老过程中发生改变？</w:t>
      </w:r>
    </w:p>
    <w:p>
      <w:pPr>
        <w:rPr>
          <w:rFonts w:hint="eastAsia"/>
        </w:rPr>
      </w:pPr>
      <w:r>
        <w:rPr>
          <w:rFonts w:hint="eastAsia"/>
        </w:rPr>
        <w:t>在衰老的大脑中，神经元和胶质细胞之间的相互调控和信号传递是否会发生显著变化？是否存在某些特定的信号通路在衰老过程中被激活或抑制，导致神经功能退化？</w:t>
      </w:r>
    </w:p>
    <w:p>
      <w:pPr>
        <w:rPr>
          <w:rFonts w:hint="eastAsia"/>
        </w:rPr>
      </w:pPr>
    </w:p>
    <w:p>
      <w:pPr>
        <w:rPr>
          <w:rFonts w:hint="eastAsia"/>
        </w:rPr>
      </w:pPr>
      <w:r>
        <w:rPr>
          <w:rFonts w:hint="eastAsia"/>
        </w:rPr>
        <w:t>基因调控网络的动态变化是否可以</w:t>
      </w:r>
      <w:r>
        <w:rPr>
          <w:rFonts w:hint="eastAsia"/>
          <w:lang w:eastAsia="zh-CN"/>
        </w:rPr>
        <w:t>真正</w:t>
      </w:r>
      <w:r>
        <w:rPr>
          <w:rFonts w:hint="eastAsia"/>
        </w:rPr>
        <w:t>预测细胞的“年龄”？</w:t>
      </w:r>
    </w:p>
    <w:p>
      <w:pPr>
        <w:rPr>
          <w:rFonts w:hint="eastAsia"/>
        </w:rPr>
      </w:pPr>
      <w:r>
        <w:rPr>
          <w:rFonts w:hint="eastAsia"/>
        </w:rPr>
        <w:t>基于调控网络的活性变化，能否开发一个生物学模型来预测单细胞的“年龄”，从而在分子水平上量化衰老对不同细胞类型的影响？</w:t>
      </w:r>
    </w:p>
    <w:p>
      <w:pPr>
        <w:rPr>
          <w:rFonts w:hint="eastAsia"/>
        </w:rPr>
      </w:pPr>
    </w:p>
    <w:p>
      <w:pPr>
        <w:rPr>
          <w:rFonts w:hint="eastAsia"/>
        </w:rPr>
      </w:pPr>
      <w:r>
        <w:rPr>
          <w:rFonts w:hint="eastAsia"/>
        </w:rPr>
        <w:t>稀有细胞类型在大脑衰老过程中是否</w:t>
      </w:r>
      <w:r>
        <w:rPr>
          <w:rFonts w:hint="eastAsia"/>
          <w:lang w:eastAsia="zh-CN"/>
        </w:rPr>
        <w:t>更容易消失或是增加</w:t>
      </w:r>
      <w:r>
        <w:rPr>
          <w:rFonts w:hint="eastAsia"/>
        </w:rPr>
        <w:t>？</w:t>
      </w:r>
    </w:p>
    <w:p>
      <w:pPr>
        <w:rPr>
          <w:rFonts w:hint="eastAsia"/>
        </w:rPr>
      </w:pPr>
      <w:r>
        <w:rPr>
          <w:rFonts w:hint="eastAsia"/>
        </w:rPr>
        <w:t>在大脑衰老的过程中，特定的稀有细胞类型（例如特定的神经亚型或小群体的胶质细胞）是否表现出更强的抗衰老能力或更易受到损伤？这些细胞类型是否具有某些特殊的基因表达或调控机制，帮助它们适应衰老的环境？</w:t>
      </w:r>
    </w:p>
    <w:p>
      <w:pPr>
        <w:rPr>
          <w:rFonts w:hint="eastAsia"/>
        </w:rPr>
      </w:pPr>
    </w:p>
    <w:p>
      <w:pPr>
        <w:rPr>
          <w:rFonts w:hint="eastAsia"/>
        </w:rPr>
      </w:pPr>
      <w:r>
        <w:rPr>
          <w:rFonts w:hint="eastAsia"/>
        </w:rPr>
        <w:t>衰老相关基因调控网络的演变是否存在进化保守性？</w:t>
      </w:r>
    </w:p>
    <w:p>
      <w:pPr>
        <w:rPr>
          <w:rFonts w:hint="eastAsia"/>
        </w:rPr>
      </w:pPr>
      <w:r>
        <w:rPr>
          <w:rFonts w:hint="eastAsia"/>
        </w:rPr>
        <w:t>果蝇和其他模式生物（如小鼠或人类）的大脑衰老是否涉及相似的基因调控网络？如果是，是否存在保守的调控因子或信号通路在进化上被优先保留下来，以应对衰老过程中的挑战？</w:t>
      </w:r>
    </w:p>
    <w:p>
      <w:pPr>
        <w:rPr>
          <w:rFonts w:hint="eastAsia"/>
        </w:rPr>
      </w:pPr>
    </w:p>
    <w:p>
      <w:pPr>
        <w:rPr>
          <w:rFonts w:hint="eastAsia"/>
        </w:rPr>
      </w:pPr>
      <w:r>
        <w:rPr>
          <w:rFonts w:hint="eastAsia"/>
        </w:rPr>
        <w:t>特定环境因素（如营养或应激）对衰老大脑的基因调控网络有何影响？</w:t>
      </w:r>
    </w:p>
    <w:p>
      <w:pPr>
        <w:rPr>
          <w:rFonts w:hint="eastAsia"/>
        </w:rPr>
      </w:pPr>
      <w:r>
        <w:rPr>
          <w:rFonts w:hint="eastAsia"/>
        </w:rPr>
        <w:t>在不同的环境条件下（例如，低营养或高应激环境），衰老对果蝇大脑基因调控网络的影响是否会发生显著改变？这些外部因素能否缓解或加剧衰老对神经功能的影响？</w:t>
      </w:r>
    </w:p>
    <w:p>
      <w:pPr>
        <w:rPr>
          <w:rFonts w:hint="eastAsia"/>
        </w:rPr>
      </w:pPr>
    </w:p>
    <w:p>
      <w:pPr>
        <w:rPr>
          <w:rFonts w:hint="eastAsia"/>
        </w:rPr>
      </w:pPr>
      <w:r>
        <w:rPr>
          <w:rFonts w:hint="eastAsia"/>
        </w:rPr>
        <w:t>衰老是否影响果蝇大脑的神经再生能力？</w:t>
      </w:r>
    </w:p>
    <w:p>
      <w:pPr>
        <w:rPr>
          <w:rFonts w:hint="eastAsia"/>
        </w:rPr>
      </w:pPr>
      <w:r>
        <w:rPr>
          <w:rFonts w:hint="eastAsia"/>
        </w:rPr>
        <w:t>虽然果蝇的神经再生能力较弱，但在衰老过程中，是否存在特定的调控网络变化限制了神经修复的潜力？识别这些限制因素是否有助于开发潜在的抗衰老或神经修复策略？</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0000000000000000000"/>
    <w:charset w:val="86"/>
    <w:family w:val="auto"/>
    <w:pitch w:val="default"/>
    <w:sig w:usb0="00000000" w:usb1="00000000" w:usb2="00000000" w:usb3="00000000" w:csb0="00000000" w:csb1="00000000"/>
  </w:font>
  <w:font w:name="Wingdings">
    <w:altName w:val="Wingdings"/>
    <w:panose1 w:val="05000000000000000000"/>
    <w:charset w:val="00"/>
    <w:family w:val="auto"/>
    <w:pitch w:val="default"/>
    <w:sig w:usb0="00000000" w:usb1="00000000" w:usb2="00000000" w:usb3="00000000" w:csb0="80000000" w:csb1="00000000"/>
  </w:font>
  <w:font w:name="Arial">
    <w:altName w:val="Arial"/>
    <w:panose1 w:val="020B0604020202020204"/>
    <w:charset w:val="00"/>
    <w:family w:val="swiss"/>
    <w:pitch w:val="default"/>
    <w:sig w:usb0="E0002AFF" w:usb1="C0007843" w:usb2="00000009" w:usb3="00000000" w:csb0="400001FF" w:csb1="FFFF0000"/>
  </w:font>
  <w:font w:name="黑体">
    <w:altName w:val="黑体"/>
    <w:panose1 w:val="02010609060101010101"/>
    <w:charset w:val="00"/>
    <w:family w:val="auto"/>
    <w:pitch w:val="default"/>
    <w:sig w:usb0="800002BF" w:usb1="38CF7CFA" w:usb2="00000016" w:usb3="00000000" w:csb0="00040001" w:csb1="00000000"/>
  </w:font>
  <w:font w:name="Courier New">
    <w:altName w:val="Courier New"/>
    <w:panose1 w:val="02070309020205020404"/>
    <w:charset w:val="00"/>
    <w:family w:val="modern"/>
    <w:pitch w:val="default"/>
    <w:sig w:usb0="E0002AFF" w:usb1="C0007843" w:usb2="00000009" w:usb3="00000000" w:csb0="400001FF" w:csb1="FFFF0000"/>
  </w:font>
  <w:font w:name="Symbol">
    <w:altName w:val="Symbol"/>
    <w:panose1 w:val="05050102010706020507"/>
    <w:charset w:val="00"/>
    <w:family w:val="roman"/>
    <w:pitch w:val="default"/>
    <w:sig w:usb0="00000000" w:usb1="00000000" w:usb2="00000000" w:usb3="00000000" w:csb0="80000000" w:csb1="00000000"/>
  </w:font>
  <w:font w:name="Cambria">
    <w:panose1 w:val="02040503050406030204"/>
    <w:charset w:val="00"/>
    <w:family w:val="roman"/>
    <w:pitch w:val="default"/>
    <w:sig w:usb0="00000000" w:usb1="00000000" w:usb2="00000000" w:usb3="00000000" w:csb0="0000019F" w:csb1="00000000"/>
  </w:font>
  <w:font w:name="Calibri">
    <w:panose1 w:val="020F0502020204030204"/>
    <w:charset w:val="00"/>
    <w:family w:val="swiss"/>
    <w:pitch w:val="default"/>
    <w:sig w:usb0="00000000" w:usb1="00000000"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uiPriority w:val="0"/>
  </w:style>
  <w:style w:type="table" w:default="1" w:styleId="3">
    <w:name w:val="Normal Table"/>
    <w:semiHidden/>
    <w:uiPriority w:val="0"/>
    <w:tblPr>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Office_0.0.0.0_F1E327BC-269C-435d-A152-05C5408002CA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2024-11-11T15:37:57Z</dcterms:created>
  <dc:creator>iPad</dc:creator>
  <cp:lastModifiedBy>iPad</cp:lastModifiedBy>
  <dcterms:modified xsi:type="dcterms:W3CDTF">2024-11-11T15:51:21Z</dcterms:modified>
  <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2052-12.18.1</vt:lpwstr>
  </property>
  <property fmtid="{D5CDD505-2E9C-101B-9397-08002B2CF9AE}" pid="3" name="ICV">
    <vt:lpwstr>0F17477B6E6DE0C355B4316791AA0BDC_31</vt:lpwstr>
  </property>
</Properties>
</file>