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6450A" w14:textId="77777777" w:rsidR="00775E76" w:rsidRDefault="00775E76" w:rsidP="00775E76">
      <w:pPr>
        <w:spacing w:line="276" w:lineRule="auto"/>
      </w:pPr>
      <w:r>
        <w:rPr>
          <w:rFonts w:hint="eastAsia"/>
        </w:rPr>
        <w:t>5</w:t>
      </w:r>
      <w:r>
        <w:rPr>
          <w:rFonts w:hint="eastAsia"/>
        </w:rPr>
        <w:t>、下列说法错误的是：</w:t>
      </w:r>
      <w:r>
        <w:rPr>
          <w:rFonts w:hint="eastAsia"/>
          <w:color w:val="FF0000"/>
        </w:rPr>
        <w:t>B</w:t>
      </w:r>
    </w:p>
    <w:p w14:paraId="43B36CA5" w14:textId="77777777" w:rsidR="00775E76" w:rsidRDefault="00775E76" w:rsidP="00775E76">
      <w:pPr>
        <w:pStyle w:val="ListParagraph"/>
        <w:numPr>
          <w:ilvl w:val="0"/>
          <w:numId w:val="1"/>
        </w:numPr>
        <w:spacing w:line="276" w:lineRule="auto"/>
      </w:pPr>
      <w:r>
        <w:rPr>
          <w:rFonts w:hint="eastAsia"/>
        </w:rPr>
        <w:t>系统安全三大要素包括机密性、完整性和可用性。</w:t>
      </w:r>
    </w:p>
    <w:p w14:paraId="555BD1E1" w14:textId="77777777" w:rsidR="00775E76" w:rsidRDefault="00775E76" w:rsidP="00775E76">
      <w:pPr>
        <w:pStyle w:val="ListParagraph"/>
        <w:numPr>
          <w:ilvl w:val="0"/>
          <w:numId w:val="1"/>
        </w:numPr>
        <w:spacing w:line="276" w:lineRule="auto"/>
      </w:pPr>
      <w:r>
        <w:rPr>
          <w:rFonts w:hint="eastAsia"/>
        </w:rPr>
        <w:t>Linux</w:t>
      </w:r>
      <w:r>
        <w:rPr>
          <w:rFonts w:hint="eastAsia"/>
        </w:rPr>
        <w:t>采用微内核架构，可以有效避免诸多安全攻击。</w:t>
      </w:r>
    </w:p>
    <w:p w14:paraId="3E8F79B5" w14:textId="77777777" w:rsidR="00775E76" w:rsidRDefault="00775E76" w:rsidP="00775E76">
      <w:pPr>
        <w:pStyle w:val="ListParagraph"/>
        <w:numPr>
          <w:ilvl w:val="0"/>
          <w:numId w:val="1"/>
        </w:numPr>
        <w:spacing w:line="276" w:lineRule="auto"/>
      </w:pPr>
      <w:r>
        <w:rPr>
          <w:rFonts w:hint="eastAsia"/>
        </w:rPr>
        <w:t>如果系统架构扁平，恶意进程可能可以利用文件系统模块漏洞篡改进程管理模块的权限类数据结构，实现提权。</w:t>
      </w:r>
    </w:p>
    <w:p w14:paraId="213CEDD9" w14:textId="77777777" w:rsidR="00775E76" w:rsidRDefault="00775E76" w:rsidP="00775E76">
      <w:pPr>
        <w:pStyle w:val="ListParagraph"/>
        <w:numPr>
          <w:ilvl w:val="0"/>
          <w:numId w:val="1"/>
        </w:numPr>
        <w:spacing w:line="276" w:lineRule="auto"/>
      </w:pPr>
      <w:r>
        <w:rPr>
          <w:rFonts w:hint="eastAsia"/>
        </w:rPr>
        <w:t>微内核架构将大部分系统功能作为用户态服务，组建通信开销相较宏内核更大。</w:t>
      </w:r>
    </w:p>
    <w:p w14:paraId="1EE14BC8" w14:textId="413887BC" w:rsidR="00D461DD" w:rsidRDefault="00D461DD"/>
    <w:p w14:paraId="380FF2BA" w14:textId="77777777" w:rsidR="00775E76" w:rsidRDefault="00775E76" w:rsidP="00775E76">
      <w:pPr>
        <w:spacing w:line="276" w:lineRule="auto"/>
        <w:rPr>
          <w:sz w:val="20"/>
        </w:rPr>
      </w:pPr>
      <w:r>
        <w:rPr>
          <w:color w:val="333333"/>
          <w:sz w:val="20"/>
        </w:rPr>
        <w:t xml:space="preserve">5. </w:t>
      </w:r>
      <w:r>
        <w:rPr>
          <w:color w:val="333333"/>
          <w:sz w:val="20"/>
        </w:rPr>
        <w:t>（单选）下列说法</w:t>
      </w:r>
      <w:r>
        <w:rPr>
          <w:b/>
          <w:color w:val="333333"/>
          <w:sz w:val="20"/>
        </w:rPr>
        <w:t>错误</w:t>
      </w:r>
      <w:r>
        <w:rPr>
          <w:color w:val="333333"/>
          <w:sz w:val="20"/>
        </w:rPr>
        <w:t>的是：</w:t>
      </w:r>
      <w:r>
        <w:rPr>
          <w:color w:val="333333"/>
          <w:sz w:val="20"/>
        </w:rPr>
        <w:t>_____</w:t>
      </w:r>
      <w:r>
        <w:rPr>
          <w:color w:val="FF0000"/>
          <w:sz w:val="20"/>
        </w:rPr>
        <w:t>A</w:t>
      </w:r>
      <w:r>
        <w:rPr>
          <w:color w:val="333333"/>
          <w:sz w:val="20"/>
        </w:rPr>
        <w:t>_____</w:t>
      </w:r>
    </w:p>
    <w:p w14:paraId="56DF9865" w14:textId="77777777" w:rsidR="00775E76" w:rsidRDefault="00775E76" w:rsidP="00775E76">
      <w:pPr>
        <w:spacing w:line="276" w:lineRule="auto"/>
        <w:rPr>
          <w:sz w:val="20"/>
        </w:rPr>
      </w:pPr>
      <w:r>
        <w:rPr>
          <w:color w:val="333333"/>
          <w:sz w:val="20"/>
        </w:rPr>
        <w:t>A. Linux</w:t>
      </w:r>
      <w:r>
        <w:rPr>
          <w:color w:val="333333"/>
          <w:sz w:val="20"/>
        </w:rPr>
        <w:t>采用宏内核架构，相较于微内核架构更安全。</w:t>
      </w:r>
    </w:p>
    <w:p w14:paraId="5AE637D3" w14:textId="77777777" w:rsidR="00775E76" w:rsidRDefault="00775E76" w:rsidP="00775E76">
      <w:pPr>
        <w:spacing w:line="276" w:lineRule="auto"/>
        <w:rPr>
          <w:sz w:val="20"/>
        </w:rPr>
      </w:pPr>
      <w:r>
        <w:rPr>
          <w:color w:val="333333"/>
          <w:sz w:val="20"/>
        </w:rPr>
        <w:t xml:space="preserve">B. </w:t>
      </w:r>
      <w:r>
        <w:rPr>
          <w:color w:val="333333"/>
          <w:sz w:val="20"/>
        </w:rPr>
        <w:t>微内核架构将大部分系统功能作为用户态服务，组件通信开销相较于宏内核架构更大。</w:t>
      </w:r>
    </w:p>
    <w:p w14:paraId="4CF89163" w14:textId="77777777" w:rsidR="00775E76" w:rsidRDefault="00775E76" w:rsidP="00775E76">
      <w:pPr>
        <w:spacing w:line="276" w:lineRule="auto"/>
        <w:rPr>
          <w:sz w:val="20"/>
        </w:rPr>
      </w:pPr>
      <w:r>
        <w:rPr>
          <w:color w:val="333333"/>
          <w:sz w:val="20"/>
        </w:rPr>
        <w:t xml:space="preserve">C. </w:t>
      </w:r>
      <w:r>
        <w:rPr>
          <w:color w:val="333333"/>
          <w:sz w:val="20"/>
        </w:rPr>
        <w:t>内核层次化划分中，设备驱动对应的安全风险最高，将其划分到高风险模块层并逐个隔离管控。</w:t>
      </w:r>
    </w:p>
    <w:p w14:paraId="76EE66D7" w14:textId="77777777" w:rsidR="00775E76" w:rsidRDefault="00775E76" w:rsidP="00775E76">
      <w:pPr>
        <w:spacing w:line="276" w:lineRule="auto"/>
        <w:rPr>
          <w:sz w:val="20"/>
        </w:rPr>
      </w:pPr>
      <w:r>
        <w:rPr>
          <w:color w:val="333333"/>
          <w:sz w:val="20"/>
        </w:rPr>
        <w:t xml:space="preserve">D. </w:t>
      </w:r>
      <w:r>
        <w:rPr>
          <w:color w:val="333333"/>
          <w:sz w:val="20"/>
        </w:rPr>
        <w:t>通过指令集数据隔离访问能力，内核域可以授权驱动域直接访问其共享内存，无需共享数据同步。</w:t>
      </w:r>
    </w:p>
    <w:p w14:paraId="32EC4B2E" w14:textId="77777777" w:rsidR="00775E76" w:rsidRDefault="00775E76" w:rsidP="00775E76">
      <w:pPr>
        <w:spacing w:line="276" w:lineRule="auto"/>
        <w:rPr>
          <w:color w:val="FF0000"/>
          <w:sz w:val="20"/>
        </w:rPr>
      </w:pPr>
      <w:r>
        <w:rPr>
          <w:color w:val="FF0000"/>
          <w:sz w:val="20"/>
        </w:rPr>
        <w:t>宏内核架构将大量系统服务集成在内核中，某个组件出现漏洞时，往往可以利用该漏洞获得整个系统的权限，因此宏内核架构在安全性上可能不如微内核架构。</w:t>
      </w:r>
    </w:p>
    <w:p w14:paraId="30BC04C6" w14:textId="5955E000" w:rsidR="00775E76" w:rsidRDefault="00775E76"/>
    <w:p w14:paraId="4E2183A5" w14:textId="77777777" w:rsidR="00982084" w:rsidRDefault="00982084" w:rsidP="00982084">
      <w:pPr>
        <w:pStyle w:val="ListParagraph"/>
        <w:numPr>
          <w:ilvl w:val="0"/>
          <w:numId w:val="2"/>
        </w:numPr>
      </w:pPr>
      <w:r>
        <w:rPr>
          <w:color w:val="333333"/>
          <w:sz w:val="20"/>
        </w:rPr>
        <w:t>我们使用图</w:t>
      </w:r>
      <w:r>
        <w:rPr>
          <w:color w:val="333333"/>
          <w:sz w:val="20"/>
        </w:rPr>
        <w:t>1</w:t>
      </w:r>
      <w:r>
        <w:rPr>
          <w:color w:val="333333"/>
          <w:sz w:val="20"/>
        </w:rPr>
        <w:t>的</w:t>
      </w:r>
      <w:r>
        <w:rPr>
          <w:color w:val="333333"/>
          <w:sz w:val="20"/>
        </w:rPr>
        <w:t>PE</w:t>
      </w:r>
      <w:r>
        <w:rPr>
          <w:color w:val="333333"/>
          <w:sz w:val="20"/>
        </w:rPr>
        <w:t>组成</w:t>
      </w:r>
      <w:r>
        <w:rPr>
          <w:rFonts w:hint="eastAsia"/>
          <w:color w:val="333333"/>
          <w:sz w:val="20"/>
        </w:rPr>
        <w:t>n</w:t>
      </w:r>
      <w:r>
        <w:rPr>
          <w:color w:val="333333"/>
          <w:sz w:val="20"/>
        </w:rPr>
        <w:t>*m</w:t>
      </w:r>
      <w:r>
        <w:rPr>
          <w:color w:val="333333"/>
          <w:sz w:val="20"/>
        </w:rPr>
        <w:t>的脉动序列（图</w:t>
      </w:r>
      <w:r>
        <w:rPr>
          <w:color w:val="333333"/>
          <w:sz w:val="20"/>
        </w:rPr>
        <w:t>2</w:t>
      </w:r>
      <w:r>
        <w:rPr>
          <w:rFonts w:hint="eastAsia"/>
          <w:color w:val="333333"/>
          <w:sz w:val="20"/>
        </w:rPr>
        <w:t>展示了</w:t>
      </w:r>
      <w:r>
        <w:rPr>
          <w:rFonts w:hint="eastAsia"/>
          <w:color w:val="333333"/>
          <w:sz w:val="20"/>
        </w:rPr>
        <w:t>3</w:t>
      </w:r>
      <w:r>
        <w:rPr>
          <w:color w:val="333333"/>
          <w:sz w:val="20"/>
        </w:rPr>
        <w:t>*3</w:t>
      </w:r>
      <w:r>
        <w:rPr>
          <w:rFonts w:hint="eastAsia"/>
          <w:color w:val="333333"/>
          <w:sz w:val="20"/>
        </w:rPr>
        <w:t>的场景）</w:t>
      </w:r>
      <w:r>
        <w:rPr>
          <w:color w:val="333333"/>
          <w:sz w:val="20"/>
        </w:rPr>
        <w:t>以计算</w:t>
      </w:r>
      <w:r>
        <w:rPr>
          <w:rFonts w:hint="eastAsia"/>
          <w:color w:val="333333"/>
          <w:sz w:val="20"/>
        </w:rPr>
        <w:t>n</w:t>
      </w:r>
      <w:r>
        <w:rPr>
          <w:color w:val="333333"/>
          <w:sz w:val="20"/>
        </w:rPr>
        <w:t>*</w:t>
      </w:r>
      <w:r>
        <w:rPr>
          <w:rFonts w:hint="eastAsia"/>
          <w:color w:val="333333"/>
          <w:sz w:val="20"/>
        </w:rPr>
        <w:t>m</w:t>
      </w:r>
      <w:r>
        <w:rPr>
          <w:color w:val="333333"/>
          <w:sz w:val="20"/>
        </w:rPr>
        <w:t>矩阵乘法</w:t>
      </w:r>
      <w:r>
        <w:rPr>
          <w:rFonts w:hint="eastAsia"/>
          <w:color w:val="333333"/>
          <w:sz w:val="20"/>
        </w:rPr>
        <w:t>，其中输入矩阵分别为</w:t>
      </w:r>
      <w:r>
        <w:rPr>
          <w:rFonts w:hint="eastAsia"/>
          <w:color w:val="333333"/>
          <w:sz w:val="20"/>
        </w:rPr>
        <w:t>n</w:t>
      </w:r>
      <w:r>
        <w:rPr>
          <w:noProof/>
          <w:sz w:val="20"/>
        </w:rPr>
        <w:drawing>
          <wp:anchor distT="0" distB="0" distL="114300" distR="114300" simplePos="0" relativeHeight="251661312" behindDoc="0" locked="0" layoutInCell="1" allowOverlap="1" wp14:anchorId="76C43964" wp14:editId="60DAAA1C">
            <wp:simplePos x="0" y="0"/>
            <wp:positionH relativeFrom="column">
              <wp:posOffset>0</wp:posOffset>
            </wp:positionH>
            <wp:positionV relativeFrom="paragraph">
              <wp:posOffset>788670</wp:posOffset>
            </wp:positionV>
            <wp:extent cx="3495675" cy="1284043"/>
            <wp:effectExtent l="0" t="0" r="0" b="0"/>
            <wp:wrapTopAndBottom distT="0"/>
            <wp:docPr id="3" name="picture" descr="descript"/>
            <wp:cNvGraphicFramePr/>
            <a:graphic xmlns:a="http://schemas.openxmlformats.org/drawingml/2006/main">
              <a:graphicData uri="http://schemas.openxmlformats.org/drawingml/2006/picture">
                <pic:pic xmlns:pic="http://schemas.openxmlformats.org/drawingml/2006/picture">
                  <pic:nvPicPr>
                    <pic:cNvPr id="3" name="picture" descr="descript"/>
                    <pic:cNvPicPr/>
                  </pic:nvPicPr>
                  <pic:blipFill rotWithShape="1">
                    <a:blip r:embed="rId5"/>
                    <a:srcRect/>
                    <a:stretch/>
                  </pic:blipFill>
                  <pic:spPr>
                    <a:xfrm>
                      <a:off x="0" y="0"/>
                      <a:ext cx="3495675" cy="1284043"/>
                    </a:xfrm>
                    <a:prstGeom prst="rect">
                      <a:avLst/>
                    </a:prstGeom>
                    <a:ln/>
                  </pic:spPr>
                </pic:pic>
              </a:graphicData>
            </a:graphic>
          </wp:anchor>
        </w:drawing>
      </w:r>
      <w:r>
        <w:rPr>
          <w:color w:val="333333"/>
          <w:sz w:val="20"/>
        </w:rPr>
        <w:t>*</w:t>
      </w:r>
      <w:r>
        <w:rPr>
          <w:rFonts w:hint="eastAsia"/>
          <w:color w:val="333333"/>
          <w:sz w:val="20"/>
        </w:rPr>
        <w:t>k</w:t>
      </w:r>
      <w:r>
        <w:rPr>
          <w:rFonts w:hint="eastAsia"/>
          <w:color w:val="333333"/>
          <w:sz w:val="20"/>
        </w:rPr>
        <w:t>和</w:t>
      </w:r>
      <w:r>
        <w:rPr>
          <w:rFonts w:hint="eastAsia"/>
          <w:color w:val="333333"/>
          <w:sz w:val="20"/>
        </w:rPr>
        <w:t>k</w:t>
      </w:r>
      <w:r>
        <w:rPr>
          <w:color w:val="333333"/>
          <w:sz w:val="20"/>
        </w:rPr>
        <w:t>*</w:t>
      </w:r>
      <w:r>
        <w:rPr>
          <w:rFonts w:hint="eastAsia"/>
          <w:color w:val="333333"/>
          <w:sz w:val="20"/>
        </w:rPr>
        <w:t>m</w:t>
      </w:r>
      <w:r>
        <w:rPr>
          <w:rFonts w:hint="eastAsia"/>
          <w:color w:val="333333"/>
          <w:sz w:val="20"/>
        </w:rPr>
        <w:t>，则至少经过</w:t>
      </w:r>
      <w:r>
        <w:rPr>
          <w:rFonts w:cs="Times New Roman (正文 CS 字体)" w:hint="eastAsia"/>
          <w:u w:val="single"/>
        </w:rPr>
        <w:t xml:space="preserve"> </w:t>
      </w:r>
      <w:r>
        <w:rPr>
          <w:rFonts w:cs="Times New Roman (正文 CS 字体)"/>
          <w:u w:val="single"/>
        </w:rPr>
        <w:t xml:space="preserve"> </w:t>
      </w:r>
      <w:r>
        <w:rPr>
          <w:rFonts w:cs="Times New Roman (正文 CS 字体)" w:hint="eastAsia"/>
          <w:color w:val="FF0000"/>
          <w:u w:val="single" w:color="000000" w:themeColor="text1"/>
        </w:rPr>
        <w:t>n</w:t>
      </w:r>
      <w:r>
        <w:rPr>
          <w:rFonts w:cs="Times New Roman (正文 CS 字体)"/>
          <w:color w:val="FF0000"/>
          <w:u w:val="single" w:color="000000" w:themeColor="text1"/>
        </w:rPr>
        <w:t>+</w:t>
      </w:r>
      <w:r>
        <w:rPr>
          <w:rFonts w:cs="Times New Roman (正文 CS 字体)" w:hint="eastAsia"/>
          <w:color w:val="FF0000"/>
          <w:u w:val="single" w:color="000000" w:themeColor="text1"/>
        </w:rPr>
        <w:t>m</w:t>
      </w:r>
      <w:r>
        <w:rPr>
          <w:rFonts w:cs="Times New Roman (正文 CS 字体)"/>
          <w:color w:val="FF0000"/>
          <w:u w:val="single" w:color="000000" w:themeColor="text1"/>
        </w:rPr>
        <w:t>+</w:t>
      </w:r>
      <w:r>
        <w:rPr>
          <w:rFonts w:cs="Times New Roman (正文 CS 字体)" w:hint="eastAsia"/>
          <w:color w:val="FF0000"/>
          <w:u w:val="single" w:color="000000" w:themeColor="text1"/>
        </w:rPr>
        <w:t>k</w:t>
      </w:r>
      <w:r>
        <w:rPr>
          <w:rFonts w:cs="Times New Roman (正文 CS 字体)"/>
          <w:color w:val="FF0000"/>
          <w:u w:val="single" w:color="000000" w:themeColor="text1"/>
        </w:rPr>
        <w:t>-2</w:t>
      </w:r>
      <w:r>
        <w:rPr>
          <w:rFonts w:cs="Times New Roman (正文 CS 字体)"/>
          <w:u w:val="single"/>
        </w:rPr>
        <w:t xml:space="preserve">  </w:t>
      </w:r>
      <w:r>
        <w:rPr>
          <w:rFonts w:hint="eastAsia"/>
          <w:color w:val="333333"/>
          <w:sz w:val="20"/>
        </w:rPr>
        <w:t>个周期可以计算完毕。（用</w:t>
      </w:r>
      <w:r>
        <w:rPr>
          <w:rFonts w:hint="eastAsia"/>
          <w:color w:val="333333"/>
          <w:sz w:val="20"/>
        </w:rPr>
        <w:t>n</w:t>
      </w:r>
      <w:r>
        <w:rPr>
          <w:rFonts w:hint="eastAsia"/>
          <w:color w:val="333333"/>
          <w:sz w:val="20"/>
        </w:rPr>
        <w:t>，</w:t>
      </w:r>
      <w:r>
        <w:rPr>
          <w:rFonts w:hint="eastAsia"/>
          <w:color w:val="333333"/>
          <w:sz w:val="20"/>
        </w:rPr>
        <w:t>m</w:t>
      </w:r>
      <w:r>
        <w:rPr>
          <w:rFonts w:hint="eastAsia"/>
          <w:color w:val="333333"/>
          <w:sz w:val="20"/>
        </w:rPr>
        <w:t>，</w:t>
      </w:r>
      <w:r>
        <w:rPr>
          <w:rFonts w:hint="eastAsia"/>
          <w:color w:val="333333"/>
          <w:sz w:val="20"/>
        </w:rPr>
        <w:t>k</w:t>
      </w:r>
      <w:r>
        <w:rPr>
          <w:rFonts w:hint="eastAsia"/>
          <w:color w:val="333333"/>
          <w:sz w:val="20"/>
        </w:rPr>
        <w:t>表示）</w:t>
      </w:r>
    </w:p>
    <w:p w14:paraId="4E7F3AE3" w14:textId="6508B58C" w:rsidR="00775E76" w:rsidRDefault="00775E76"/>
    <w:p w14:paraId="1A29A4E9" w14:textId="77777777" w:rsidR="00982084" w:rsidRDefault="00982084">
      <w:pPr>
        <w:rPr>
          <w:rFonts w:hint="eastAsia"/>
        </w:rPr>
      </w:pPr>
    </w:p>
    <w:p w14:paraId="6ED58293" w14:textId="77777777" w:rsidR="00982084" w:rsidRDefault="00982084" w:rsidP="00982084">
      <w:pPr>
        <w:spacing w:line="276" w:lineRule="auto"/>
        <w:rPr>
          <w:sz w:val="20"/>
        </w:rPr>
      </w:pPr>
      <w:r>
        <w:rPr>
          <w:color w:val="333333"/>
          <w:sz w:val="20"/>
        </w:rPr>
        <w:t xml:space="preserve">5. </w:t>
      </w:r>
      <w:r>
        <w:rPr>
          <w:color w:val="333333"/>
          <w:sz w:val="20"/>
        </w:rPr>
        <w:t>我们使用图</w:t>
      </w:r>
      <w:r>
        <w:rPr>
          <w:color w:val="333333"/>
          <w:sz w:val="20"/>
        </w:rPr>
        <w:t>1</w:t>
      </w:r>
      <w:r>
        <w:rPr>
          <w:color w:val="333333"/>
          <w:sz w:val="20"/>
        </w:rPr>
        <w:t>的</w:t>
      </w:r>
      <w:r>
        <w:rPr>
          <w:color w:val="333333"/>
          <w:sz w:val="20"/>
        </w:rPr>
        <w:t>PE</w:t>
      </w:r>
      <w:r>
        <w:rPr>
          <w:color w:val="333333"/>
          <w:sz w:val="20"/>
        </w:rPr>
        <w:t>组成</w:t>
      </w:r>
      <w:r>
        <w:rPr>
          <w:color w:val="333333"/>
          <w:sz w:val="20"/>
        </w:rPr>
        <w:t>3*3</w:t>
      </w:r>
      <w:r>
        <w:rPr>
          <w:color w:val="333333"/>
          <w:sz w:val="20"/>
        </w:rPr>
        <w:t>的脉动序列（如图</w:t>
      </w:r>
      <w:r>
        <w:rPr>
          <w:color w:val="333333"/>
          <w:sz w:val="20"/>
        </w:rPr>
        <w:t>2</w:t>
      </w:r>
      <w:r>
        <w:rPr>
          <w:color w:val="333333"/>
          <w:sz w:val="20"/>
        </w:rPr>
        <w:t>）以计算</w:t>
      </w:r>
      <w:r>
        <w:rPr>
          <w:color w:val="333333"/>
          <w:sz w:val="20"/>
        </w:rPr>
        <w:t>3*3</w:t>
      </w:r>
      <w:r>
        <w:rPr>
          <w:color w:val="333333"/>
          <w:sz w:val="20"/>
        </w:rPr>
        <w:t>矩阵乘法</w:t>
      </w:r>
      <w:r>
        <w:rPr>
          <w:color w:val="333333"/>
          <w:sz w:val="20"/>
        </w:rPr>
        <w:t>(</w:t>
      </w:r>
      <w:r>
        <w:rPr>
          <w:color w:val="333333"/>
          <w:sz w:val="20"/>
        </w:rPr>
        <w:t>其中</w:t>
      </w:r>
      <w:r>
        <w:rPr>
          <w:noProof/>
          <w:sz w:val="20"/>
        </w:rPr>
        <w:drawing>
          <wp:inline distT="0" distB="0" distL="0" distR="0" wp14:anchorId="1F2F9D4A" wp14:editId="00B1E040">
            <wp:extent cx="855009" cy="133350"/>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3" name="picture" descr="descript"/>
                    <pic:cNvPicPr/>
                  </pic:nvPicPr>
                  <pic:blipFill rotWithShape="1">
                    <a:blip r:embed="rId6">
                      <a:extLst>
                        <a:ext uri="{96DAC541-7B7A-43D3-8B79-37D633B846F1}">
                          <asvg:svgBlip xmlns:asvg="http://schemas.microsoft.com/office/drawing/2016/SVG/main" r:embed="rId7"/>
                        </a:ext>
                      </a:extLst>
                    </a:blip>
                    <a:srcRect/>
                    <a:stretch/>
                  </pic:blipFill>
                  <pic:spPr>
                    <a:xfrm>
                      <a:off x="0" y="0"/>
                      <a:ext cx="855009" cy="133350"/>
                    </a:xfrm>
                    <a:prstGeom prst="rect">
                      <a:avLst/>
                    </a:prstGeom>
                  </pic:spPr>
                </pic:pic>
              </a:graphicData>
            </a:graphic>
          </wp:inline>
        </w:drawing>
      </w:r>
      <w:r>
        <w:rPr>
          <w:color w:val="333333"/>
          <w:sz w:val="20"/>
        </w:rPr>
        <w:t>)</w:t>
      </w:r>
      <w:r>
        <w:rPr>
          <w:color w:val="333333"/>
          <w:sz w:val="20"/>
        </w:rPr>
        <w:t>。每个周期</w:t>
      </w:r>
      <w:r>
        <w:rPr>
          <w:color w:val="333333"/>
          <w:sz w:val="20"/>
        </w:rPr>
        <w:t>PE</w:t>
      </w:r>
      <w:r>
        <w:rPr>
          <w:color w:val="333333"/>
          <w:sz w:val="20"/>
        </w:rPr>
        <w:t>的行为也如图</w:t>
      </w:r>
      <w:r>
        <w:rPr>
          <w:color w:val="333333"/>
          <w:sz w:val="20"/>
        </w:rPr>
        <w:t>1</w:t>
      </w:r>
      <w:r>
        <w:rPr>
          <w:color w:val="333333"/>
          <w:sz w:val="20"/>
        </w:rPr>
        <w:t>所示。那么经过至少</w:t>
      </w:r>
      <w:r>
        <w:rPr>
          <w:color w:val="333333"/>
          <w:sz w:val="20"/>
        </w:rPr>
        <w:t>__</w:t>
      </w:r>
      <w:r>
        <w:rPr>
          <w:color w:val="FF0000"/>
          <w:sz w:val="20"/>
        </w:rPr>
        <w:t>7</w:t>
      </w:r>
      <w:r>
        <w:rPr>
          <w:color w:val="333333"/>
          <w:sz w:val="20"/>
        </w:rPr>
        <w:t>__</w:t>
      </w:r>
      <w:r>
        <w:rPr>
          <w:color w:val="333333"/>
          <w:sz w:val="20"/>
        </w:rPr>
        <w:t>个周期，所有</w:t>
      </w:r>
      <w:proofErr w:type="spellStart"/>
      <w:r>
        <w:rPr>
          <w:color w:val="333333"/>
          <w:sz w:val="20"/>
        </w:rPr>
        <w:t>Cij</w:t>
      </w:r>
      <w:proofErr w:type="spellEnd"/>
      <w:r>
        <w:rPr>
          <w:color w:val="333333"/>
          <w:sz w:val="20"/>
        </w:rPr>
        <w:t>被计算完毕并且分别被存储在对应的</w:t>
      </w:r>
      <w:r>
        <w:rPr>
          <w:color w:val="333333"/>
          <w:sz w:val="20"/>
        </w:rPr>
        <w:t>PE</w:t>
      </w:r>
      <w:r>
        <w:rPr>
          <w:color w:val="333333"/>
          <w:sz w:val="20"/>
        </w:rPr>
        <w:t>中。如果第</w:t>
      </w:r>
      <w:r>
        <w:rPr>
          <w:color w:val="333333"/>
          <w:sz w:val="20"/>
        </w:rPr>
        <w:t>1</w:t>
      </w:r>
      <w:r>
        <w:rPr>
          <w:color w:val="333333"/>
          <w:sz w:val="20"/>
        </w:rPr>
        <w:t>行第</w:t>
      </w:r>
      <w:r>
        <w:rPr>
          <w:color w:val="333333"/>
          <w:sz w:val="20"/>
        </w:rPr>
        <w:t>2</w:t>
      </w:r>
      <w:r>
        <w:rPr>
          <w:color w:val="333333"/>
          <w:sz w:val="20"/>
        </w:rPr>
        <w:t>列的</w:t>
      </w:r>
      <w:r>
        <w:rPr>
          <w:color w:val="333333"/>
          <w:sz w:val="20"/>
        </w:rPr>
        <w:t>PE</w:t>
      </w:r>
      <w:r>
        <w:rPr>
          <w:color w:val="333333"/>
          <w:sz w:val="20"/>
        </w:rPr>
        <w:t>存储了</w:t>
      </w:r>
      <w:r>
        <w:rPr>
          <w:color w:val="333333"/>
          <w:sz w:val="20"/>
        </w:rPr>
        <w:t>C01</w:t>
      </w:r>
      <w:r>
        <w:rPr>
          <w:color w:val="333333"/>
          <w:sz w:val="20"/>
        </w:rPr>
        <w:t>的结果，且第一行的输入依次为</w:t>
      </w:r>
      <w:r>
        <w:rPr>
          <w:color w:val="333333"/>
          <w:sz w:val="20"/>
        </w:rPr>
        <w:t>a00,a01,a02,...</w:t>
      </w:r>
      <w:r>
        <w:rPr>
          <w:color w:val="333333"/>
          <w:sz w:val="20"/>
        </w:rPr>
        <w:t>，则第二列的前五个输入依次为</w:t>
      </w:r>
      <w:r>
        <w:rPr>
          <w:color w:val="333333"/>
          <w:sz w:val="20"/>
        </w:rPr>
        <w:t>_</w:t>
      </w:r>
      <w:r>
        <w:rPr>
          <w:color w:val="FF0000"/>
          <w:sz w:val="20"/>
        </w:rPr>
        <w:t>0, b01, b11, b21, 0</w:t>
      </w:r>
      <w:r>
        <w:rPr>
          <w:color w:val="333333"/>
          <w:sz w:val="20"/>
        </w:rPr>
        <w:t>_</w:t>
      </w:r>
      <w:r>
        <w:rPr>
          <w:color w:val="333333"/>
          <w:sz w:val="20"/>
        </w:rPr>
        <w:t>。</w:t>
      </w:r>
    </w:p>
    <w:p w14:paraId="0FFF3FA9" w14:textId="77777777" w:rsidR="00982084" w:rsidRDefault="00982084" w:rsidP="00982084">
      <w:pPr>
        <w:spacing w:line="276" w:lineRule="auto"/>
        <w:rPr>
          <w:sz w:val="20"/>
        </w:rPr>
      </w:pPr>
      <w:r>
        <w:rPr>
          <w:noProof/>
          <w:sz w:val="20"/>
        </w:rPr>
        <w:lastRenderedPageBreak/>
        <w:drawing>
          <wp:anchor distT="0" distB="0" distL="114300" distR="114300" simplePos="0" relativeHeight="251659264" behindDoc="0" locked="0" layoutInCell="1" allowOverlap="1" wp14:anchorId="42F4ABDA" wp14:editId="3F71914E">
            <wp:simplePos x="0" y="0"/>
            <wp:positionH relativeFrom="column">
              <wp:posOffset>635</wp:posOffset>
            </wp:positionH>
            <wp:positionV relativeFrom="paragraph">
              <wp:posOffset>0</wp:posOffset>
            </wp:positionV>
            <wp:extent cx="3495675" cy="1284043"/>
            <wp:effectExtent l="0" t="0" r="0" b="0"/>
            <wp:wrapTopAndBottom distT="0"/>
            <wp:docPr id="5" name="picture" descr="descript"/>
            <wp:cNvGraphicFramePr/>
            <a:graphic xmlns:a="http://schemas.openxmlformats.org/drawingml/2006/main">
              <a:graphicData uri="http://schemas.openxmlformats.org/drawingml/2006/picture">
                <pic:pic xmlns:pic="http://schemas.openxmlformats.org/drawingml/2006/picture">
                  <pic:nvPicPr>
                    <pic:cNvPr id="6" name="picture" descr="descript"/>
                    <pic:cNvPicPr/>
                  </pic:nvPicPr>
                  <pic:blipFill rotWithShape="1">
                    <a:blip r:embed="rId5"/>
                    <a:srcRect/>
                    <a:stretch/>
                  </pic:blipFill>
                  <pic:spPr>
                    <a:xfrm>
                      <a:off x="0" y="0"/>
                      <a:ext cx="3495675" cy="1284043"/>
                    </a:xfrm>
                    <a:prstGeom prst="rect">
                      <a:avLst/>
                    </a:prstGeom>
                    <a:ln/>
                  </pic:spPr>
                </pic:pic>
              </a:graphicData>
            </a:graphic>
          </wp:anchor>
        </w:drawing>
      </w:r>
    </w:p>
    <w:p w14:paraId="4E39EC6B" w14:textId="77777777" w:rsidR="00982084" w:rsidRDefault="00982084" w:rsidP="00982084">
      <w:pPr>
        <w:spacing w:line="276" w:lineRule="auto"/>
        <w:rPr>
          <w:color w:val="FF0000"/>
          <w:sz w:val="20"/>
        </w:rPr>
      </w:pPr>
      <w:r>
        <w:rPr>
          <w:color w:val="FF0000"/>
          <w:sz w:val="20"/>
        </w:rPr>
        <w:t>参考如下</w:t>
      </w:r>
      <w:r>
        <w:rPr>
          <w:color w:val="FF0000"/>
          <w:sz w:val="20"/>
        </w:rPr>
        <w:t>Slide</w:t>
      </w:r>
      <w:r>
        <w:rPr>
          <w:color w:val="FF0000"/>
          <w:sz w:val="20"/>
        </w:rPr>
        <w:t>。注意图中的</w:t>
      </w:r>
      <w:r>
        <w:rPr>
          <w:color w:val="FF0000"/>
          <w:sz w:val="20"/>
        </w:rPr>
        <w:t>b22</w:t>
      </w:r>
      <w:r>
        <w:rPr>
          <w:color w:val="FF0000"/>
          <w:sz w:val="20"/>
        </w:rPr>
        <w:t>传播到右下角时计算才完成。</w:t>
      </w:r>
    </w:p>
    <w:p w14:paraId="646AC35C" w14:textId="3FBCECE2" w:rsidR="00982084" w:rsidRDefault="00982084"/>
    <w:p w14:paraId="4DD8657B" w14:textId="77777777" w:rsidR="00982084" w:rsidRPr="00982084" w:rsidRDefault="00982084">
      <w:pPr>
        <w:rPr>
          <w:rFonts w:hint="eastAsia"/>
        </w:rPr>
      </w:pPr>
    </w:p>
    <w:sectPr w:rsidR="00982084" w:rsidRPr="0098208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正文 CS 字体)">
    <w:panose1 w:val="020B0604020202020204"/>
    <w:charset w:val="86"/>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A04E0"/>
    <w:multiLevelType w:val="hybridMultilevel"/>
    <w:tmpl w:val="6C22DD72"/>
    <w:lvl w:ilvl="0" w:tplc="D3EEC8F8">
      <w:start w:val="1"/>
      <w:numFmt w:val="upperLetter"/>
      <w:lvlText w:val="%1．"/>
      <w:lvlJc w:val="left"/>
      <w:pPr>
        <w:ind w:left="360" w:hanging="360"/>
      </w:pPr>
      <w:rPr>
        <w:rFonts w:hint="default"/>
      </w:rPr>
    </w:lvl>
    <w:lvl w:ilvl="1" w:tplc="E2C05A32" w:tentative="1">
      <w:start w:val="1"/>
      <w:numFmt w:val="lowerLetter"/>
      <w:lvlText w:val="%2)"/>
      <w:lvlJc w:val="left"/>
      <w:pPr>
        <w:ind w:left="880" w:hanging="440"/>
      </w:pPr>
    </w:lvl>
    <w:lvl w:ilvl="2" w:tplc="C25E458E" w:tentative="1">
      <w:start w:val="1"/>
      <w:numFmt w:val="lowerRoman"/>
      <w:lvlText w:val="%3."/>
      <w:lvlJc w:val="right"/>
      <w:pPr>
        <w:ind w:left="1320" w:hanging="440"/>
      </w:pPr>
    </w:lvl>
    <w:lvl w:ilvl="3" w:tplc="DAA6B684" w:tentative="1">
      <w:start w:val="1"/>
      <w:numFmt w:val="decimal"/>
      <w:lvlText w:val="%4."/>
      <w:lvlJc w:val="left"/>
      <w:pPr>
        <w:ind w:left="1760" w:hanging="440"/>
      </w:pPr>
    </w:lvl>
    <w:lvl w:ilvl="4" w:tplc="6B54FA5C" w:tentative="1">
      <w:start w:val="1"/>
      <w:numFmt w:val="lowerLetter"/>
      <w:lvlText w:val="%5)"/>
      <w:lvlJc w:val="left"/>
      <w:pPr>
        <w:ind w:left="2200" w:hanging="440"/>
      </w:pPr>
    </w:lvl>
    <w:lvl w:ilvl="5" w:tplc="51686366" w:tentative="1">
      <w:start w:val="1"/>
      <w:numFmt w:val="lowerRoman"/>
      <w:lvlText w:val="%6."/>
      <w:lvlJc w:val="right"/>
      <w:pPr>
        <w:ind w:left="2640" w:hanging="440"/>
      </w:pPr>
    </w:lvl>
    <w:lvl w:ilvl="6" w:tplc="C9B849F4" w:tentative="1">
      <w:start w:val="1"/>
      <w:numFmt w:val="decimal"/>
      <w:lvlText w:val="%7."/>
      <w:lvlJc w:val="left"/>
      <w:pPr>
        <w:ind w:left="3080" w:hanging="440"/>
      </w:pPr>
    </w:lvl>
    <w:lvl w:ilvl="7" w:tplc="94CCC56A" w:tentative="1">
      <w:start w:val="1"/>
      <w:numFmt w:val="lowerLetter"/>
      <w:lvlText w:val="%8)"/>
      <w:lvlJc w:val="left"/>
      <w:pPr>
        <w:ind w:left="3520" w:hanging="440"/>
      </w:pPr>
    </w:lvl>
    <w:lvl w:ilvl="8" w:tplc="29A274C2" w:tentative="1">
      <w:start w:val="1"/>
      <w:numFmt w:val="lowerRoman"/>
      <w:lvlText w:val="%9."/>
      <w:lvlJc w:val="right"/>
      <w:pPr>
        <w:ind w:left="3960" w:hanging="440"/>
      </w:pPr>
    </w:lvl>
  </w:abstractNum>
  <w:abstractNum w:abstractNumId="1" w15:restartNumberingAfterBreak="0">
    <w:nsid w:val="2E5C28A2"/>
    <w:multiLevelType w:val="hybridMultilevel"/>
    <w:tmpl w:val="614ADE8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9774AC6E" w:tentative="1">
      <w:start w:val="1"/>
      <w:numFmt w:val="lowerRoman"/>
      <w:lvlText w:val="%6."/>
      <w:lvlJc w:val="right"/>
      <w:pPr>
        <w:ind w:left="2640" w:hanging="440"/>
      </w:pPr>
    </w:lvl>
    <w:lvl w:ilvl="6" w:tplc="9B5697D2" w:tentative="1">
      <w:start w:val="1"/>
      <w:numFmt w:val="decimal"/>
      <w:lvlText w:val="%7."/>
      <w:lvlJc w:val="left"/>
      <w:pPr>
        <w:ind w:left="3080" w:hanging="440"/>
      </w:pPr>
    </w:lvl>
    <w:lvl w:ilvl="7" w:tplc="F692FDEE" w:tentative="1">
      <w:start w:val="1"/>
      <w:numFmt w:val="lowerLetter"/>
      <w:lvlText w:val="%8)"/>
      <w:lvlJc w:val="left"/>
      <w:pPr>
        <w:ind w:left="3520" w:hanging="440"/>
      </w:pPr>
    </w:lvl>
    <w:lvl w:ilvl="8" w:tplc="597C7A2C" w:tentative="1">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E76"/>
    <w:rsid w:val="0068439F"/>
    <w:rsid w:val="00775E76"/>
    <w:rsid w:val="00982084"/>
    <w:rsid w:val="00D14FB8"/>
    <w:rsid w:val="00D461DD"/>
    <w:rsid w:val="00F1531A"/>
    <w:rsid w:val="00F2039A"/>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80CA122"/>
  <w15:chartTrackingRefBased/>
  <w15:docId w15:val="{9BF452C4-BF18-E648-A2E9-32DB35C38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E76"/>
    <w:pPr>
      <w:widowControl w:val="0"/>
      <w:spacing w:after="160" w:line="278" w:lineRule="auto"/>
    </w:pPr>
    <w:rPr>
      <w:sz w:val="2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5E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沛雨</dc:creator>
  <cp:keywords/>
  <dc:description/>
  <cp:lastModifiedBy>刘 沛雨</cp:lastModifiedBy>
  <cp:revision>1</cp:revision>
  <dcterms:created xsi:type="dcterms:W3CDTF">2025-01-08T17:31:00Z</dcterms:created>
  <dcterms:modified xsi:type="dcterms:W3CDTF">2025-01-08T17:34:00Z</dcterms:modified>
</cp:coreProperties>
</file>