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716A0" w14:textId="77777777" w:rsidR="00451D08" w:rsidRPr="00451D08" w:rsidRDefault="00451D08" w:rsidP="00451D08">
      <w:pPr>
        <w:rPr>
          <w:rFonts w:ascii="Arial" w:hAnsi="Arial" w:cs="Arial"/>
          <w:b/>
          <w:bCs/>
          <w:sz w:val="24"/>
          <w:szCs w:val="24"/>
        </w:rPr>
      </w:pPr>
      <w:r w:rsidRPr="00451D08">
        <w:rPr>
          <w:rFonts w:ascii="Arial" w:hAnsi="Arial" w:cs="Arial"/>
          <w:b/>
          <w:bCs/>
          <w:sz w:val="24"/>
          <w:szCs w:val="24"/>
        </w:rPr>
        <w:t>Important Changes in Input Tax Credit (ITC) Rules – FY 2026-27</w:t>
      </w:r>
    </w:p>
    <w:p w14:paraId="6AEBEDAF" w14:textId="77777777" w:rsidR="00451D08" w:rsidRPr="00451D08" w:rsidRDefault="00451D08" w:rsidP="00451D08">
      <w:pPr>
        <w:rPr>
          <w:rFonts w:ascii="Arial" w:hAnsi="Arial" w:cs="Arial"/>
          <w:b/>
          <w:bCs/>
          <w:sz w:val="24"/>
          <w:szCs w:val="24"/>
        </w:rPr>
      </w:pPr>
      <w:r w:rsidRPr="00451D08">
        <w:rPr>
          <w:rFonts w:ascii="Arial" w:hAnsi="Arial" w:cs="Arial"/>
          <w:b/>
          <w:bCs/>
          <w:sz w:val="24"/>
          <w:szCs w:val="24"/>
        </w:rPr>
        <w:t>A Detailed Analysis with Relevant GST Act Provisions and Rules</w:t>
      </w:r>
    </w:p>
    <w:p w14:paraId="780A528C" w14:textId="77777777" w:rsidR="00451D08" w:rsidRPr="00451D08" w:rsidRDefault="00451D08" w:rsidP="00451D08">
      <w:pPr>
        <w:rPr>
          <w:rFonts w:ascii="Arial" w:hAnsi="Arial" w:cs="Arial"/>
          <w:b/>
          <w:bCs/>
          <w:sz w:val="24"/>
          <w:szCs w:val="24"/>
        </w:rPr>
      </w:pPr>
      <w:r w:rsidRPr="00451D08">
        <w:rPr>
          <w:rFonts w:ascii="Arial" w:hAnsi="Arial" w:cs="Arial"/>
          <w:b/>
          <w:bCs/>
          <w:sz w:val="24"/>
          <w:szCs w:val="24"/>
        </w:rPr>
        <w:t>Introduction</w:t>
      </w:r>
    </w:p>
    <w:p w14:paraId="3F0DCE5A" w14:textId="77777777" w:rsidR="00451D08" w:rsidRPr="00451D08" w:rsidRDefault="00451D08" w:rsidP="00451D08">
      <w:pPr>
        <w:rPr>
          <w:rFonts w:ascii="Arial" w:hAnsi="Arial" w:cs="Arial"/>
          <w:sz w:val="24"/>
          <w:szCs w:val="24"/>
        </w:rPr>
      </w:pPr>
      <w:r w:rsidRPr="00451D08">
        <w:rPr>
          <w:rFonts w:ascii="Arial" w:hAnsi="Arial" w:cs="Arial"/>
          <w:sz w:val="24"/>
          <w:szCs w:val="24"/>
        </w:rPr>
        <w:t>Input Tax Credit (ITC) is the backbone of the GST system. It eliminates the cascading effect of taxes by allowing a registered person to claim credit of GST paid on inward supplies against GST payable on outward supplies.</w:t>
      </w:r>
    </w:p>
    <w:p w14:paraId="0FB23887" w14:textId="18E433BB" w:rsidR="00451D08" w:rsidRPr="00451D08" w:rsidRDefault="00451D08" w:rsidP="00451D08">
      <w:pPr>
        <w:rPr>
          <w:rFonts w:ascii="Arial" w:hAnsi="Arial" w:cs="Arial"/>
          <w:sz w:val="24"/>
          <w:szCs w:val="24"/>
        </w:rPr>
      </w:pPr>
      <w:r w:rsidRPr="00451D08">
        <w:rPr>
          <w:rFonts w:ascii="Arial" w:hAnsi="Arial" w:cs="Arial"/>
          <w:sz w:val="24"/>
          <w:szCs w:val="24"/>
        </w:rPr>
        <w:t xml:space="preserve">The year 2026 has witnessed several significant developments in ITC administration. While many of these changes are technology-driven through GSTN enhancements, some arise from amendments introduced through the Finance Act, 2025 and subsequent notifications. The focus of the Government has shifted from merely allowing ITC to ensuring that ITC is genuine, reconciled, and fully traceable. </w:t>
      </w:r>
    </w:p>
    <w:p w14:paraId="432F40C0" w14:textId="77777777" w:rsidR="00451D08" w:rsidRPr="00451D08" w:rsidRDefault="00451D08" w:rsidP="00451D08">
      <w:pPr>
        <w:rPr>
          <w:rFonts w:ascii="Arial" w:hAnsi="Arial" w:cs="Arial"/>
          <w:sz w:val="24"/>
          <w:szCs w:val="24"/>
        </w:rPr>
      </w:pPr>
      <w:r w:rsidRPr="00451D08">
        <w:rPr>
          <w:rFonts w:ascii="Arial" w:hAnsi="Arial" w:cs="Arial"/>
          <w:sz w:val="24"/>
          <w:szCs w:val="24"/>
        </w:rPr>
        <w:pict w14:anchorId="07DB7875">
          <v:rect id="_x0000_i1085" style="width:0;height:1.5pt" o:hralign="center" o:hrstd="t" o:hr="t" fillcolor="#a0a0a0" stroked="f"/>
        </w:pict>
      </w:r>
    </w:p>
    <w:p w14:paraId="06D3D7F3" w14:textId="77777777" w:rsidR="00451D08" w:rsidRPr="00451D08" w:rsidRDefault="00451D08" w:rsidP="00451D08">
      <w:pPr>
        <w:rPr>
          <w:rFonts w:ascii="Arial" w:hAnsi="Arial" w:cs="Arial"/>
          <w:b/>
          <w:bCs/>
          <w:sz w:val="24"/>
          <w:szCs w:val="24"/>
        </w:rPr>
      </w:pPr>
      <w:r w:rsidRPr="00451D08">
        <w:rPr>
          <w:rFonts w:ascii="Arial" w:hAnsi="Arial" w:cs="Arial"/>
          <w:b/>
          <w:bCs/>
          <w:sz w:val="24"/>
          <w:szCs w:val="24"/>
        </w:rPr>
        <w:t>1. Invoice Management System (IMS) – A New Era of ITC Verification</w:t>
      </w:r>
    </w:p>
    <w:p w14:paraId="081042B9" w14:textId="77777777" w:rsidR="00451D08" w:rsidRPr="00451D08" w:rsidRDefault="00451D08" w:rsidP="00451D08">
      <w:pPr>
        <w:rPr>
          <w:rFonts w:ascii="Arial" w:hAnsi="Arial" w:cs="Arial"/>
          <w:b/>
          <w:bCs/>
          <w:sz w:val="24"/>
          <w:szCs w:val="24"/>
        </w:rPr>
      </w:pPr>
      <w:r w:rsidRPr="00451D08">
        <w:rPr>
          <w:rFonts w:ascii="Arial" w:hAnsi="Arial" w:cs="Arial"/>
          <w:b/>
          <w:bCs/>
          <w:sz w:val="24"/>
          <w:szCs w:val="24"/>
        </w:rPr>
        <w:t>Legal Background</w:t>
      </w:r>
    </w:p>
    <w:p w14:paraId="72DC6495" w14:textId="77777777" w:rsidR="00451D08" w:rsidRPr="00451D08" w:rsidRDefault="00451D08" w:rsidP="00451D08">
      <w:pPr>
        <w:rPr>
          <w:rFonts w:ascii="Arial" w:hAnsi="Arial" w:cs="Arial"/>
          <w:sz w:val="24"/>
          <w:szCs w:val="24"/>
        </w:rPr>
      </w:pPr>
      <w:r w:rsidRPr="00451D08">
        <w:rPr>
          <w:rFonts w:ascii="Arial" w:hAnsi="Arial" w:cs="Arial"/>
          <w:sz w:val="24"/>
          <w:szCs w:val="24"/>
        </w:rPr>
        <w:t>The Invoice Management System (IMS) has become the operational framework for implementing Section 38 of the CGST Act.</w:t>
      </w:r>
    </w:p>
    <w:p w14:paraId="0C0B9CDF" w14:textId="77777777" w:rsidR="00451D08" w:rsidRPr="00451D08" w:rsidRDefault="00451D08" w:rsidP="00451D08">
      <w:pPr>
        <w:rPr>
          <w:rFonts w:ascii="Arial" w:hAnsi="Arial" w:cs="Arial"/>
          <w:b/>
          <w:bCs/>
          <w:sz w:val="24"/>
          <w:szCs w:val="24"/>
        </w:rPr>
      </w:pPr>
      <w:r w:rsidRPr="00451D08">
        <w:rPr>
          <w:rFonts w:ascii="Arial" w:hAnsi="Arial" w:cs="Arial"/>
          <w:b/>
          <w:bCs/>
          <w:sz w:val="24"/>
          <w:szCs w:val="24"/>
        </w:rPr>
        <w:t>Relevant Provisions</w:t>
      </w:r>
    </w:p>
    <w:p w14:paraId="348DCA7D" w14:textId="77777777" w:rsidR="00451D08" w:rsidRPr="00451D08" w:rsidRDefault="00451D08" w:rsidP="00451D08">
      <w:pPr>
        <w:numPr>
          <w:ilvl w:val="0"/>
          <w:numId w:val="1"/>
        </w:numPr>
        <w:rPr>
          <w:rFonts w:ascii="Arial" w:hAnsi="Arial" w:cs="Arial"/>
          <w:sz w:val="24"/>
          <w:szCs w:val="24"/>
        </w:rPr>
      </w:pPr>
      <w:r w:rsidRPr="00451D08">
        <w:rPr>
          <w:rFonts w:ascii="Arial" w:hAnsi="Arial" w:cs="Arial"/>
          <w:sz w:val="24"/>
          <w:szCs w:val="24"/>
        </w:rPr>
        <w:t>Section 16 – Eligibility and conditions for taking ITC</w:t>
      </w:r>
    </w:p>
    <w:p w14:paraId="3E9DEF15" w14:textId="77777777" w:rsidR="00451D08" w:rsidRPr="00451D08" w:rsidRDefault="00451D08" w:rsidP="00451D08">
      <w:pPr>
        <w:numPr>
          <w:ilvl w:val="0"/>
          <w:numId w:val="1"/>
        </w:numPr>
        <w:rPr>
          <w:rFonts w:ascii="Arial" w:hAnsi="Arial" w:cs="Arial"/>
          <w:sz w:val="24"/>
          <w:szCs w:val="24"/>
        </w:rPr>
      </w:pPr>
      <w:r w:rsidRPr="00451D08">
        <w:rPr>
          <w:rFonts w:ascii="Arial" w:hAnsi="Arial" w:cs="Arial"/>
          <w:sz w:val="24"/>
          <w:szCs w:val="24"/>
        </w:rPr>
        <w:t>Section 38 – Communication of details of inward supplies and ITC</w:t>
      </w:r>
    </w:p>
    <w:p w14:paraId="4BE9D205" w14:textId="77777777" w:rsidR="00451D08" w:rsidRPr="00451D08" w:rsidRDefault="00451D08" w:rsidP="00451D08">
      <w:pPr>
        <w:numPr>
          <w:ilvl w:val="0"/>
          <w:numId w:val="1"/>
        </w:numPr>
        <w:rPr>
          <w:rFonts w:ascii="Arial" w:hAnsi="Arial" w:cs="Arial"/>
          <w:sz w:val="24"/>
          <w:szCs w:val="24"/>
        </w:rPr>
      </w:pPr>
      <w:r w:rsidRPr="00451D08">
        <w:rPr>
          <w:rFonts w:ascii="Arial" w:hAnsi="Arial" w:cs="Arial"/>
          <w:sz w:val="24"/>
          <w:szCs w:val="24"/>
        </w:rPr>
        <w:t>Rule 60 – Furnishing details of inward supplies</w:t>
      </w:r>
    </w:p>
    <w:p w14:paraId="642AD80A" w14:textId="77777777" w:rsidR="00451D08" w:rsidRPr="00451D08" w:rsidRDefault="00451D08" w:rsidP="00451D08">
      <w:pPr>
        <w:rPr>
          <w:rFonts w:ascii="Arial" w:hAnsi="Arial" w:cs="Arial"/>
          <w:sz w:val="24"/>
          <w:szCs w:val="24"/>
        </w:rPr>
      </w:pPr>
      <w:r w:rsidRPr="00451D08">
        <w:rPr>
          <w:rFonts w:ascii="Arial" w:hAnsi="Arial" w:cs="Arial"/>
          <w:sz w:val="24"/>
          <w:szCs w:val="24"/>
        </w:rPr>
        <w:t>Under IMS, every invoice uploaded by the supplier in GSTR-1 is made available to the recipient for action.</w:t>
      </w:r>
    </w:p>
    <w:p w14:paraId="5AAEE9BF" w14:textId="77777777" w:rsidR="00451D08" w:rsidRPr="00451D08" w:rsidRDefault="00451D08" w:rsidP="00451D08">
      <w:pPr>
        <w:rPr>
          <w:rFonts w:ascii="Arial" w:hAnsi="Arial" w:cs="Arial"/>
          <w:sz w:val="24"/>
          <w:szCs w:val="24"/>
        </w:rPr>
      </w:pPr>
      <w:r w:rsidRPr="00451D08">
        <w:rPr>
          <w:rFonts w:ascii="Arial" w:hAnsi="Arial" w:cs="Arial"/>
          <w:sz w:val="24"/>
          <w:szCs w:val="24"/>
        </w:rPr>
        <w:t>The recipient can:</w:t>
      </w:r>
    </w:p>
    <w:p w14:paraId="034A36BB" w14:textId="77777777" w:rsidR="00451D08" w:rsidRPr="00451D08" w:rsidRDefault="00451D08" w:rsidP="00451D08">
      <w:pPr>
        <w:numPr>
          <w:ilvl w:val="0"/>
          <w:numId w:val="2"/>
        </w:numPr>
        <w:rPr>
          <w:rFonts w:ascii="Arial" w:hAnsi="Arial" w:cs="Arial"/>
          <w:sz w:val="24"/>
          <w:szCs w:val="24"/>
        </w:rPr>
      </w:pPr>
      <w:r w:rsidRPr="00451D08">
        <w:rPr>
          <w:rFonts w:ascii="Arial" w:hAnsi="Arial" w:cs="Arial"/>
          <w:sz w:val="24"/>
          <w:szCs w:val="24"/>
        </w:rPr>
        <w:t>Accept</w:t>
      </w:r>
    </w:p>
    <w:p w14:paraId="51225E74" w14:textId="77777777" w:rsidR="00451D08" w:rsidRPr="00451D08" w:rsidRDefault="00451D08" w:rsidP="00451D08">
      <w:pPr>
        <w:numPr>
          <w:ilvl w:val="0"/>
          <w:numId w:val="2"/>
        </w:numPr>
        <w:rPr>
          <w:rFonts w:ascii="Arial" w:hAnsi="Arial" w:cs="Arial"/>
          <w:sz w:val="24"/>
          <w:szCs w:val="24"/>
        </w:rPr>
      </w:pPr>
      <w:r w:rsidRPr="00451D08">
        <w:rPr>
          <w:rFonts w:ascii="Arial" w:hAnsi="Arial" w:cs="Arial"/>
          <w:sz w:val="24"/>
          <w:szCs w:val="24"/>
        </w:rPr>
        <w:t>Reject</w:t>
      </w:r>
    </w:p>
    <w:p w14:paraId="2E8E5CAA" w14:textId="77777777" w:rsidR="00451D08" w:rsidRPr="00451D08" w:rsidRDefault="00451D08" w:rsidP="00451D08">
      <w:pPr>
        <w:numPr>
          <w:ilvl w:val="0"/>
          <w:numId w:val="2"/>
        </w:numPr>
        <w:rPr>
          <w:rFonts w:ascii="Arial" w:hAnsi="Arial" w:cs="Arial"/>
          <w:sz w:val="24"/>
          <w:szCs w:val="24"/>
        </w:rPr>
      </w:pPr>
      <w:r w:rsidRPr="00451D08">
        <w:rPr>
          <w:rFonts w:ascii="Arial" w:hAnsi="Arial" w:cs="Arial"/>
          <w:sz w:val="24"/>
          <w:szCs w:val="24"/>
        </w:rPr>
        <w:t>Keep Pending</w:t>
      </w:r>
    </w:p>
    <w:p w14:paraId="2685AC0B" w14:textId="05A15EC2" w:rsidR="00451D08" w:rsidRPr="00451D08" w:rsidRDefault="00451D08" w:rsidP="00451D08">
      <w:pPr>
        <w:rPr>
          <w:rFonts w:ascii="Arial" w:hAnsi="Arial" w:cs="Arial"/>
          <w:sz w:val="24"/>
          <w:szCs w:val="24"/>
        </w:rPr>
      </w:pPr>
      <w:r w:rsidRPr="00451D08">
        <w:rPr>
          <w:rFonts w:ascii="Arial" w:hAnsi="Arial" w:cs="Arial"/>
          <w:sz w:val="24"/>
          <w:szCs w:val="24"/>
        </w:rPr>
        <w:t xml:space="preserve">Only invoices accepted (or deemed accepted) are considered for generating eligible ITC in GSTR-2B. This has transformed ITC compliance from a passive process to an active monthly responsibility. </w:t>
      </w:r>
    </w:p>
    <w:p w14:paraId="7125E401" w14:textId="77777777" w:rsidR="00451D08" w:rsidRPr="00451D08" w:rsidRDefault="00451D08" w:rsidP="00451D08">
      <w:pPr>
        <w:rPr>
          <w:rFonts w:ascii="Arial" w:hAnsi="Arial" w:cs="Arial"/>
          <w:b/>
          <w:bCs/>
          <w:sz w:val="24"/>
          <w:szCs w:val="24"/>
        </w:rPr>
      </w:pPr>
      <w:r w:rsidRPr="00451D08">
        <w:rPr>
          <w:rFonts w:ascii="Arial" w:hAnsi="Arial" w:cs="Arial"/>
          <w:b/>
          <w:bCs/>
          <w:sz w:val="24"/>
          <w:szCs w:val="24"/>
        </w:rPr>
        <w:t>Practical Impact</w:t>
      </w:r>
    </w:p>
    <w:p w14:paraId="55A8FB8A" w14:textId="77777777" w:rsidR="00451D08" w:rsidRPr="00451D08" w:rsidRDefault="00451D08" w:rsidP="00451D08">
      <w:pPr>
        <w:rPr>
          <w:rFonts w:ascii="Arial" w:hAnsi="Arial" w:cs="Arial"/>
          <w:sz w:val="24"/>
          <w:szCs w:val="24"/>
        </w:rPr>
      </w:pPr>
      <w:r w:rsidRPr="00451D08">
        <w:rPr>
          <w:rFonts w:ascii="Arial" w:hAnsi="Arial" w:cs="Arial"/>
          <w:sz w:val="24"/>
          <w:szCs w:val="24"/>
        </w:rPr>
        <w:t>Suppose Vendor A uploads an invoice of ₹1,18,000 including GST of ₹18,000.</w:t>
      </w:r>
    </w:p>
    <w:p w14:paraId="4EC6BCAA" w14:textId="77777777" w:rsidR="00451D08" w:rsidRPr="00451D08" w:rsidRDefault="00451D08" w:rsidP="00451D08">
      <w:pPr>
        <w:rPr>
          <w:rFonts w:ascii="Arial" w:hAnsi="Arial" w:cs="Arial"/>
          <w:sz w:val="24"/>
          <w:szCs w:val="24"/>
        </w:rPr>
      </w:pPr>
      <w:r w:rsidRPr="00451D08">
        <w:rPr>
          <w:rFonts w:ascii="Arial" w:hAnsi="Arial" w:cs="Arial"/>
          <w:sz w:val="24"/>
          <w:szCs w:val="24"/>
        </w:rPr>
        <w:t>If the recipient:</w:t>
      </w:r>
    </w:p>
    <w:p w14:paraId="3940B64D" w14:textId="77777777" w:rsidR="00451D08" w:rsidRPr="00451D08" w:rsidRDefault="00451D08" w:rsidP="00451D08">
      <w:pPr>
        <w:numPr>
          <w:ilvl w:val="0"/>
          <w:numId w:val="3"/>
        </w:numPr>
        <w:rPr>
          <w:rFonts w:ascii="Arial" w:hAnsi="Arial" w:cs="Arial"/>
          <w:sz w:val="24"/>
          <w:szCs w:val="24"/>
        </w:rPr>
      </w:pPr>
      <w:r w:rsidRPr="00451D08">
        <w:rPr>
          <w:rFonts w:ascii="Arial" w:hAnsi="Arial" w:cs="Arial"/>
          <w:sz w:val="24"/>
          <w:szCs w:val="24"/>
        </w:rPr>
        <w:t>Accepts → ITC available.</w:t>
      </w:r>
    </w:p>
    <w:p w14:paraId="029E7B12" w14:textId="77777777" w:rsidR="00451D08" w:rsidRPr="00451D08" w:rsidRDefault="00451D08" w:rsidP="00451D08">
      <w:pPr>
        <w:numPr>
          <w:ilvl w:val="0"/>
          <w:numId w:val="3"/>
        </w:numPr>
        <w:rPr>
          <w:rFonts w:ascii="Arial" w:hAnsi="Arial" w:cs="Arial"/>
          <w:sz w:val="24"/>
          <w:szCs w:val="24"/>
        </w:rPr>
      </w:pPr>
      <w:r w:rsidRPr="00451D08">
        <w:rPr>
          <w:rFonts w:ascii="Arial" w:hAnsi="Arial" w:cs="Arial"/>
          <w:sz w:val="24"/>
          <w:szCs w:val="24"/>
        </w:rPr>
        <w:t>Rejects → ITC blocked.</w:t>
      </w:r>
    </w:p>
    <w:p w14:paraId="14E425E0" w14:textId="77777777" w:rsidR="00451D08" w:rsidRPr="00451D08" w:rsidRDefault="00451D08" w:rsidP="00451D08">
      <w:pPr>
        <w:numPr>
          <w:ilvl w:val="0"/>
          <w:numId w:val="3"/>
        </w:numPr>
        <w:rPr>
          <w:rFonts w:ascii="Arial" w:hAnsi="Arial" w:cs="Arial"/>
          <w:sz w:val="24"/>
          <w:szCs w:val="24"/>
        </w:rPr>
      </w:pPr>
      <w:r w:rsidRPr="00451D08">
        <w:rPr>
          <w:rFonts w:ascii="Arial" w:hAnsi="Arial" w:cs="Arial"/>
          <w:sz w:val="24"/>
          <w:szCs w:val="24"/>
        </w:rPr>
        <w:t>Keeps pending → ITC deferred.</w:t>
      </w:r>
    </w:p>
    <w:p w14:paraId="0F8DCF08" w14:textId="26EB67C6" w:rsidR="00451D08" w:rsidRPr="00451D08" w:rsidRDefault="00451D08" w:rsidP="00451D08">
      <w:pPr>
        <w:rPr>
          <w:rFonts w:ascii="Arial" w:hAnsi="Arial" w:cs="Arial"/>
          <w:sz w:val="24"/>
          <w:szCs w:val="24"/>
        </w:rPr>
      </w:pPr>
      <w:r w:rsidRPr="00451D08">
        <w:rPr>
          <w:rFonts w:ascii="Arial" w:hAnsi="Arial" w:cs="Arial"/>
          <w:sz w:val="24"/>
          <w:szCs w:val="24"/>
        </w:rPr>
        <w:t xml:space="preserve">Failure to review invoices can directly affect monthly ITC entitlement. </w:t>
      </w:r>
    </w:p>
    <w:p w14:paraId="4E4C296B" w14:textId="77777777" w:rsidR="00451D08" w:rsidRPr="00451D08" w:rsidRDefault="00451D08" w:rsidP="00451D08">
      <w:pPr>
        <w:rPr>
          <w:rFonts w:ascii="Arial" w:hAnsi="Arial" w:cs="Arial"/>
          <w:sz w:val="24"/>
          <w:szCs w:val="24"/>
        </w:rPr>
      </w:pPr>
      <w:r w:rsidRPr="00451D08">
        <w:rPr>
          <w:rFonts w:ascii="Arial" w:hAnsi="Arial" w:cs="Arial"/>
          <w:sz w:val="24"/>
          <w:szCs w:val="24"/>
        </w:rPr>
        <w:pict w14:anchorId="09A8D2C9">
          <v:rect id="_x0000_i1086" style="width:0;height:1.5pt" o:hralign="center" o:hrstd="t" o:hr="t" fillcolor="#a0a0a0" stroked="f"/>
        </w:pict>
      </w:r>
    </w:p>
    <w:p w14:paraId="5ADDBA99" w14:textId="77777777" w:rsidR="00451D08" w:rsidRPr="00451D08" w:rsidRDefault="00451D08" w:rsidP="00451D08">
      <w:pPr>
        <w:rPr>
          <w:rFonts w:ascii="Arial" w:hAnsi="Arial" w:cs="Arial"/>
          <w:b/>
          <w:bCs/>
          <w:sz w:val="24"/>
          <w:szCs w:val="24"/>
        </w:rPr>
      </w:pPr>
      <w:r w:rsidRPr="00451D08">
        <w:rPr>
          <w:rFonts w:ascii="Arial" w:hAnsi="Arial" w:cs="Arial"/>
          <w:b/>
          <w:bCs/>
          <w:sz w:val="24"/>
          <w:szCs w:val="24"/>
        </w:rPr>
        <w:t>2. GSTR-2B Reconciliation Becomes Mandatory in Practice</w:t>
      </w:r>
    </w:p>
    <w:p w14:paraId="074C596D" w14:textId="77777777" w:rsidR="00451D08" w:rsidRPr="00451D08" w:rsidRDefault="00451D08" w:rsidP="00451D08">
      <w:pPr>
        <w:rPr>
          <w:rFonts w:ascii="Arial" w:hAnsi="Arial" w:cs="Arial"/>
          <w:b/>
          <w:bCs/>
          <w:sz w:val="24"/>
          <w:szCs w:val="24"/>
        </w:rPr>
      </w:pPr>
      <w:r w:rsidRPr="00451D08">
        <w:rPr>
          <w:rFonts w:ascii="Arial" w:hAnsi="Arial" w:cs="Arial"/>
          <w:b/>
          <w:bCs/>
          <w:sz w:val="24"/>
          <w:szCs w:val="24"/>
        </w:rPr>
        <w:t>Legal Background</w:t>
      </w:r>
    </w:p>
    <w:p w14:paraId="170F55E9" w14:textId="77777777" w:rsidR="00451D08" w:rsidRPr="00451D08" w:rsidRDefault="00451D08" w:rsidP="00451D08">
      <w:pPr>
        <w:rPr>
          <w:rFonts w:ascii="Arial" w:hAnsi="Arial" w:cs="Arial"/>
          <w:sz w:val="24"/>
          <w:szCs w:val="24"/>
        </w:rPr>
      </w:pPr>
      <w:r w:rsidRPr="00451D08">
        <w:rPr>
          <w:rFonts w:ascii="Arial" w:hAnsi="Arial" w:cs="Arial"/>
          <w:sz w:val="24"/>
          <w:szCs w:val="24"/>
        </w:rPr>
        <w:t>Section 16(</w:t>
      </w:r>
      <w:proofErr w:type="gramStart"/>
      <w:r w:rsidRPr="00451D08">
        <w:rPr>
          <w:rFonts w:ascii="Arial" w:hAnsi="Arial" w:cs="Arial"/>
          <w:sz w:val="24"/>
          <w:szCs w:val="24"/>
        </w:rPr>
        <w:t>2)(</w:t>
      </w:r>
      <w:proofErr w:type="gramEnd"/>
      <w:r w:rsidRPr="00451D08">
        <w:rPr>
          <w:rFonts w:ascii="Arial" w:hAnsi="Arial" w:cs="Arial"/>
          <w:sz w:val="24"/>
          <w:szCs w:val="24"/>
        </w:rPr>
        <w:t>aa) of the CGST Act provides that ITC can be availed only if invoice details have been furnished by the supplier and communicated to the recipient.</w:t>
      </w:r>
    </w:p>
    <w:p w14:paraId="425F7EAC" w14:textId="77777777" w:rsidR="00451D08" w:rsidRPr="00451D08" w:rsidRDefault="00451D08" w:rsidP="00451D08">
      <w:pPr>
        <w:rPr>
          <w:rFonts w:ascii="Arial" w:hAnsi="Arial" w:cs="Arial"/>
          <w:b/>
          <w:bCs/>
          <w:sz w:val="24"/>
          <w:szCs w:val="24"/>
        </w:rPr>
      </w:pPr>
      <w:r w:rsidRPr="00451D08">
        <w:rPr>
          <w:rFonts w:ascii="Arial" w:hAnsi="Arial" w:cs="Arial"/>
          <w:b/>
          <w:bCs/>
          <w:sz w:val="24"/>
          <w:szCs w:val="24"/>
        </w:rPr>
        <w:t>Relevant Provision</w:t>
      </w:r>
    </w:p>
    <w:p w14:paraId="648B5AB5" w14:textId="77777777" w:rsidR="00451D08" w:rsidRPr="00451D08" w:rsidRDefault="00451D08" w:rsidP="00451D08">
      <w:pPr>
        <w:rPr>
          <w:rFonts w:ascii="Arial" w:hAnsi="Arial" w:cs="Arial"/>
          <w:sz w:val="24"/>
          <w:szCs w:val="24"/>
        </w:rPr>
      </w:pPr>
      <w:r w:rsidRPr="00451D08">
        <w:rPr>
          <w:rFonts w:ascii="Arial" w:hAnsi="Arial" w:cs="Arial"/>
          <w:sz w:val="24"/>
          <w:szCs w:val="24"/>
        </w:rPr>
        <w:t>Section 16(</w:t>
      </w:r>
      <w:proofErr w:type="gramStart"/>
      <w:r w:rsidRPr="00451D08">
        <w:rPr>
          <w:rFonts w:ascii="Arial" w:hAnsi="Arial" w:cs="Arial"/>
          <w:sz w:val="24"/>
          <w:szCs w:val="24"/>
        </w:rPr>
        <w:t>2)(</w:t>
      </w:r>
      <w:proofErr w:type="gramEnd"/>
      <w:r w:rsidRPr="00451D08">
        <w:rPr>
          <w:rFonts w:ascii="Arial" w:hAnsi="Arial" w:cs="Arial"/>
          <w:sz w:val="24"/>
          <w:szCs w:val="24"/>
        </w:rPr>
        <w:t>aa)</w:t>
      </w:r>
    </w:p>
    <w:p w14:paraId="5123C3DE" w14:textId="77777777" w:rsidR="00451D08" w:rsidRPr="00451D08" w:rsidRDefault="00451D08" w:rsidP="00451D08">
      <w:pPr>
        <w:rPr>
          <w:rFonts w:ascii="Arial" w:hAnsi="Arial" w:cs="Arial"/>
          <w:sz w:val="24"/>
          <w:szCs w:val="24"/>
        </w:rPr>
      </w:pPr>
      <w:r w:rsidRPr="00451D08">
        <w:rPr>
          <w:rFonts w:ascii="Arial" w:hAnsi="Arial" w:cs="Arial"/>
          <w:sz w:val="24"/>
          <w:szCs w:val="24"/>
        </w:rPr>
        <w:t>ITC is available only when the supplier has furnished invoice details in GSTR-1 and such details are communicated to the recipient.</w:t>
      </w:r>
    </w:p>
    <w:p w14:paraId="641E0DFD" w14:textId="77777777" w:rsidR="00451D08" w:rsidRPr="00451D08" w:rsidRDefault="00451D08" w:rsidP="00451D08">
      <w:pPr>
        <w:rPr>
          <w:rFonts w:ascii="Arial" w:hAnsi="Arial" w:cs="Arial"/>
          <w:sz w:val="24"/>
          <w:szCs w:val="24"/>
        </w:rPr>
      </w:pPr>
      <w:r w:rsidRPr="00451D08">
        <w:rPr>
          <w:rFonts w:ascii="Arial" w:hAnsi="Arial" w:cs="Arial"/>
          <w:sz w:val="24"/>
          <w:szCs w:val="24"/>
        </w:rPr>
        <w:t>Thus, GSTR-2B has become the primary document for determining eligible ITC.</w:t>
      </w:r>
    </w:p>
    <w:p w14:paraId="700B83CA" w14:textId="77777777" w:rsidR="00451D08" w:rsidRPr="00451D08" w:rsidRDefault="00451D08" w:rsidP="00451D08">
      <w:pPr>
        <w:rPr>
          <w:rFonts w:ascii="Arial" w:hAnsi="Arial" w:cs="Arial"/>
          <w:b/>
          <w:bCs/>
          <w:sz w:val="24"/>
          <w:szCs w:val="24"/>
        </w:rPr>
      </w:pPr>
      <w:r w:rsidRPr="00451D08">
        <w:rPr>
          <w:rFonts w:ascii="Arial" w:hAnsi="Arial" w:cs="Arial"/>
          <w:b/>
          <w:bCs/>
          <w:sz w:val="24"/>
          <w:szCs w:val="24"/>
        </w:rPr>
        <w:t>Compliance Requirement</w:t>
      </w:r>
    </w:p>
    <w:p w14:paraId="04CBD745" w14:textId="77777777" w:rsidR="00451D08" w:rsidRPr="00451D08" w:rsidRDefault="00451D08" w:rsidP="00451D08">
      <w:pPr>
        <w:rPr>
          <w:rFonts w:ascii="Arial" w:hAnsi="Arial" w:cs="Arial"/>
          <w:sz w:val="24"/>
          <w:szCs w:val="24"/>
        </w:rPr>
      </w:pPr>
      <w:r w:rsidRPr="00451D08">
        <w:rPr>
          <w:rFonts w:ascii="Arial" w:hAnsi="Arial" w:cs="Arial"/>
          <w:sz w:val="24"/>
          <w:szCs w:val="24"/>
        </w:rPr>
        <w:t>Every month businesses should reconcile: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gridCol w:w="2050"/>
      </w:tblGrid>
      <w:tr w:rsidR="00451D08" w:rsidRPr="00451D08" w14:paraId="1FF57C23" w14:textId="77777777">
        <w:trPr>
          <w:tblHeader/>
          <w:tblCellSpacing w:w="15" w:type="dxa"/>
        </w:trPr>
        <w:tc>
          <w:tcPr>
            <w:tcW w:w="0" w:type="auto"/>
            <w:vAlign w:val="center"/>
            <w:hideMark/>
          </w:tcPr>
          <w:p w14:paraId="1B0E2159" w14:textId="77777777" w:rsidR="00451D08" w:rsidRPr="00451D08" w:rsidRDefault="00451D08" w:rsidP="00451D08">
            <w:pPr>
              <w:rPr>
                <w:rFonts w:ascii="Arial" w:hAnsi="Arial" w:cs="Arial"/>
                <w:b/>
                <w:bCs/>
                <w:sz w:val="24"/>
                <w:szCs w:val="24"/>
              </w:rPr>
            </w:pPr>
            <w:r w:rsidRPr="00451D08">
              <w:rPr>
                <w:rFonts w:ascii="Arial" w:hAnsi="Arial" w:cs="Arial"/>
                <w:b/>
                <w:bCs/>
                <w:sz w:val="24"/>
                <w:szCs w:val="24"/>
              </w:rPr>
              <w:t>Particulars</w:t>
            </w:r>
          </w:p>
        </w:tc>
        <w:tc>
          <w:tcPr>
            <w:tcW w:w="0" w:type="auto"/>
            <w:vAlign w:val="center"/>
            <w:hideMark/>
          </w:tcPr>
          <w:p w14:paraId="08221E6A" w14:textId="77777777" w:rsidR="00451D08" w:rsidRPr="00451D08" w:rsidRDefault="00451D08" w:rsidP="00451D08">
            <w:pPr>
              <w:rPr>
                <w:rFonts w:ascii="Arial" w:hAnsi="Arial" w:cs="Arial"/>
                <w:b/>
                <w:bCs/>
                <w:sz w:val="24"/>
                <w:szCs w:val="24"/>
              </w:rPr>
            </w:pPr>
            <w:r w:rsidRPr="00451D08">
              <w:rPr>
                <w:rFonts w:ascii="Arial" w:hAnsi="Arial" w:cs="Arial"/>
                <w:b/>
                <w:bCs/>
                <w:sz w:val="24"/>
                <w:szCs w:val="24"/>
              </w:rPr>
              <w:t>Source</w:t>
            </w:r>
          </w:p>
        </w:tc>
      </w:tr>
      <w:tr w:rsidR="00451D08" w:rsidRPr="00451D08" w14:paraId="462227ED" w14:textId="77777777">
        <w:trPr>
          <w:tblCellSpacing w:w="15" w:type="dxa"/>
        </w:trPr>
        <w:tc>
          <w:tcPr>
            <w:tcW w:w="0" w:type="auto"/>
            <w:vAlign w:val="center"/>
            <w:hideMark/>
          </w:tcPr>
          <w:p w14:paraId="27A803F6" w14:textId="77777777" w:rsidR="00451D08" w:rsidRPr="00451D08" w:rsidRDefault="00451D08" w:rsidP="00451D08">
            <w:pPr>
              <w:rPr>
                <w:rFonts w:ascii="Arial" w:hAnsi="Arial" w:cs="Arial"/>
                <w:sz w:val="24"/>
                <w:szCs w:val="24"/>
              </w:rPr>
            </w:pPr>
            <w:r w:rsidRPr="00451D08">
              <w:rPr>
                <w:rFonts w:ascii="Arial" w:hAnsi="Arial" w:cs="Arial"/>
                <w:sz w:val="24"/>
                <w:szCs w:val="24"/>
              </w:rPr>
              <w:t>Purchase Register</w:t>
            </w:r>
          </w:p>
        </w:tc>
        <w:tc>
          <w:tcPr>
            <w:tcW w:w="0" w:type="auto"/>
            <w:vAlign w:val="center"/>
            <w:hideMark/>
          </w:tcPr>
          <w:p w14:paraId="73ACC583" w14:textId="77777777" w:rsidR="00451D08" w:rsidRPr="00451D08" w:rsidRDefault="00451D08" w:rsidP="00451D08">
            <w:pPr>
              <w:rPr>
                <w:rFonts w:ascii="Arial" w:hAnsi="Arial" w:cs="Arial"/>
                <w:sz w:val="24"/>
                <w:szCs w:val="24"/>
              </w:rPr>
            </w:pPr>
            <w:r w:rsidRPr="00451D08">
              <w:rPr>
                <w:rFonts w:ascii="Arial" w:hAnsi="Arial" w:cs="Arial"/>
                <w:sz w:val="24"/>
                <w:szCs w:val="24"/>
              </w:rPr>
              <w:t>Books of Accounts</w:t>
            </w:r>
          </w:p>
        </w:tc>
      </w:tr>
      <w:tr w:rsidR="00451D08" w:rsidRPr="00451D08" w14:paraId="4C2B37F2" w14:textId="77777777">
        <w:trPr>
          <w:tblCellSpacing w:w="15" w:type="dxa"/>
        </w:trPr>
        <w:tc>
          <w:tcPr>
            <w:tcW w:w="0" w:type="auto"/>
            <w:vAlign w:val="center"/>
            <w:hideMark/>
          </w:tcPr>
          <w:p w14:paraId="27629A52" w14:textId="77777777" w:rsidR="00451D08" w:rsidRPr="00451D08" w:rsidRDefault="00451D08" w:rsidP="00451D08">
            <w:pPr>
              <w:rPr>
                <w:rFonts w:ascii="Arial" w:hAnsi="Arial" w:cs="Arial"/>
                <w:sz w:val="24"/>
                <w:szCs w:val="24"/>
              </w:rPr>
            </w:pPr>
            <w:r w:rsidRPr="00451D08">
              <w:rPr>
                <w:rFonts w:ascii="Arial" w:hAnsi="Arial" w:cs="Arial"/>
                <w:sz w:val="24"/>
                <w:szCs w:val="24"/>
              </w:rPr>
              <w:t>Eligible ITC</w:t>
            </w:r>
          </w:p>
        </w:tc>
        <w:tc>
          <w:tcPr>
            <w:tcW w:w="0" w:type="auto"/>
            <w:vAlign w:val="center"/>
            <w:hideMark/>
          </w:tcPr>
          <w:p w14:paraId="0CC712DC" w14:textId="77777777" w:rsidR="00451D08" w:rsidRPr="00451D08" w:rsidRDefault="00451D08" w:rsidP="00451D08">
            <w:pPr>
              <w:rPr>
                <w:rFonts w:ascii="Arial" w:hAnsi="Arial" w:cs="Arial"/>
                <w:sz w:val="24"/>
                <w:szCs w:val="24"/>
              </w:rPr>
            </w:pPr>
            <w:r w:rsidRPr="00451D08">
              <w:rPr>
                <w:rFonts w:ascii="Arial" w:hAnsi="Arial" w:cs="Arial"/>
                <w:sz w:val="24"/>
                <w:szCs w:val="24"/>
              </w:rPr>
              <w:t>GSTR-2B</w:t>
            </w:r>
          </w:p>
        </w:tc>
      </w:tr>
      <w:tr w:rsidR="00451D08" w:rsidRPr="00451D08" w14:paraId="4FF19D7C" w14:textId="77777777">
        <w:trPr>
          <w:tblCellSpacing w:w="15" w:type="dxa"/>
        </w:trPr>
        <w:tc>
          <w:tcPr>
            <w:tcW w:w="0" w:type="auto"/>
            <w:vAlign w:val="center"/>
            <w:hideMark/>
          </w:tcPr>
          <w:p w14:paraId="310E1755" w14:textId="77777777" w:rsidR="00451D08" w:rsidRPr="00451D08" w:rsidRDefault="00451D08" w:rsidP="00451D08">
            <w:pPr>
              <w:rPr>
                <w:rFonts w:ascii="Arial" w:hAnsi="Arial" w:cs="Arial"/>
                <w:sz w:val="24"/>
                <w:szCs w:val="24"/>
              </w:rPr>
            </w:pPr>
            <w:r w:rsidRPr="00451D08">
              <w:rPr>
                <w:rFonts w:ascii="Arial" w:hAnsi="Arial" w:cs="Arial"/>
                <w:sz w:val="24"/>
                <w:szCs w:val="24"/>
              </w:rPr>
              <w:t>ITC Claimed</w:t>
            </w:r>
          </w:p>
        </w:tc>
        <w:tc>
          <w:tcPr>
            <w:tcW w:w="0" w:type="auto"/>
            <w:vAlign w:val="center"/>
            <w:hideMark/>
          </w:tcPr>
          <w:p w14:paraId="04A1D83F" w14:textId="77777777" w:rsidR="00451D08" w:rsidRPr="00451D08" w:rsidRDefault="00451D08" w:rsidP="00451D08">
            <w:pPr>
              <w:rPr>
                <w:rFonts w:ascii="Arial" w:hAnsi="Arial" w:cs="Arial"/>
                <w:sz w:val="24"/>
                <w:szCs w:val="24"/>
              </w:rPr>
            </w:pPr>
            <w:r w:rsidRPr="00451D08">
              <w:rPr>
                <w:rFonts w:ascii="Arial" w:hAnsi="Arial" w:cs="Arial"/>
                <w:sz w:val="24"/>
                <w:szCs w:val="24"/>
              </w:rPr>
              <w:t>GSTR-3B</w:t>
            </w:r>
          </w:p>
        </w:tc>
      </w:tr>
    </w:tbl>
    <w:p w14:paraId="03338B85" w14:textId="77777777" w:rsidR="00451D08" w:rsidRPr="00451D08" w:rsidRDefault="00451D08" w:rsidP="00451D08">
      <w:pPr>
        <w:rPr>
          <w:rFonts w:ascii="Arial" w:hAnsi="Arial" w:cs="Arial"/>
          <w:sz w:val="24"/>
          <w:szCs w:val="24"/>
        </w:rPr>
      </w:pPr>
      <w:r w:rsidRPr="00451D08">
        <w:rPr>
          <w:rFonts w:ascii="Arial" w:hAnsi="Arial" w:cs="Arial"/>
          <w:sz w:val="24"/>
          <w:szCs w:val="24"/>
        </w:rPr>
        <w:t>Any mismatch may result in:</w:t>
      </w:r>
    </w:p>
    <w:p w14:paraId="6B7C2F40" w14:textId="77777777" w:rsidR="00451D08" w:rsidRPr="00451D08" w:rsidRDefault="00451D08" w:rsidP="00451D08">
      <w:pPr>
        <w:numPr>
          <w:ilvl w:val="0"/>
          <w:numId w:val="4"/>
        </w:numPr>
        <w:rPr>
          <w:rFonts w:ascii="Arial" w:hAnsi="Arial" w:cs="Arial"/>
          <w:sz w:val="24"/>
          <w:szCs w:val="24"/>
        </w:rPr>
      </w:pPr>
      <w:r w:rsidRPr="00451D08">
        <w:rPr>
          <w:rFonts w:ascii="Arial" w:hAnsi="Arial" w:cs="Arial"/>
          <w:sz w:val="24"/>
          <w:szCs w:val="24"/>
        </w:rPr>
        <w:t>ITC denial</w:t>
      </w:r>
    </w:p>
    <w:p w14:paraId="162DA477" w14:textId="77777777" w:rsidR="00451D08" w:rsidRPr="00451D08" w:rsidRDefault="00451D08" w:rsidP="00451D08">
      <w:pPr>
        <w:numPr>
          <w:ilvl w:val="0"/>
          <w:numId w:val="4"/>
        </w:numPr>
        <w:rPr>
          <w:rFonts w:ascii="Arial" w:hAnsi="Arial" w:cs="Arial"/>
          <w:sz w:val="24"/>
          <w:szCs w:val="24"/>
        </w:rPr>
      </w:pPr>
      <w:r w:rsidRPr="00451D08">
        <w:rPr>
          <w:rFonts w:ascii="Arial" w:hAnsi="Arial" w:cs="Arial"/>
          <w:sz w:val="24"/>
          <w:szCs w:val="24"/>
        </w:rPr>
        <w:t>GST notices</w:t>
      </w:r>
    </w:p>
    <w:p w14:paraId="700B1729" w14:textId="77777777" w:rsidR="00451D08" w:rsidRPr="00451D08" w:rsidRDefault="00451D08" w:rsidP="00451D08">
      <w:pPr>
        <w:numPr>
          <w:ilvl w:val="0"/>
          <w:numId w:val="4"/>
        </w:numPr>
        <w:rPr>
          <w:rFonts w:ascii="Arial" w:hAnsi="Arial" w:cs="Arial"/>
          <w:sz w:val="24"/>
          <w:szCs w:val="24"/>
        </w:rPr>
      </w:pPr>
      <w:r w:rsidRPr="00451D08">
        <w:rPr>
          <w:rFonts w:ascii="Arial" w:hAnsi="Arial" w:cs="Arial"/>
          <w:sz w:val="24"/>
          <w:szCs w:val="24"/>
        </w:rPr>
        <w:t>Interest liability</w:t>
      </w:r>
    </w:p>
    <w:p w14:paraId="748466FE" w14:textId="1748A10F" w:rsidR="00451D08" w:rsidRPr="00451D08" w:rsidRDefault="00451D08" w:rsidP="00451D08">
      <w:pPr>
        <w:rPr>
          <w:rFonts w:ascii="Arial" w:hAnsi="Arial" w:cs="Arial"/>
          <w:sz w:val="24"/>
          <w:szCs w:val="24"/>
        </w:rPr>
      </w:pPr>
      <w:r w:rsidRPr="00451D08">
        <w:rPr>
          <w:rFonts w:ascii="Arial" w:hAnsi="Arial" w:cs="Arial"/>
          <w:sz w:val="24"/>
          <w:szCs w:val="24"/>
        </w:rPr>
        <w:t xml:space="preserve">GST authorities increasingly rely upon GSTR-2B data for scrutiny. </w:t>
      </w:r>
    </w:p>
    <w:p w14:paraId="16701C15" w14:textId="77777777" w:rsidR="00451D08" w:rsidRPr="00451D08" w:rsidRDefault="00451D08" w:rsidP="00451D08">
      <w:pPr>
        <w:rPr>
          <w:rFonts w:ascii="Arial" w:hAnsi="Arial" w:cs="Arial"/>
          <w:sz w:val="24"/>
          <w:szCs w:val="24"/>
        </w:rPr>
      </w:pPr>
      <w:r w:rsidRPr="00451D08">
        <w:rPr>
          <w:rFonts w:ascii="Arial" w:hAnsi="Arial" w:cs="Arial"/>
          <w:sz w:val="24"/>
          <w:szCs w:val="24"/>
        </w:rPr>
        <w:pict w14:anchorId="2CAB17ED">
          <v:rect id="_x0000_i1087" style="width:0;height:1.5pt" o:hralign="center" o:hrstd="t" o:hr="t" fillcolor="#a0a0a0" stroked="f"/>
        </w:pict>
      </w:r>
    </w:p>
    <w:p w14:paraId="65F20434" w14:textId="77777777" w:rsidR="00451D08" w:rsidRPr="00451D08" w:rsidRDefault="00451D08" w:rsidP="00451D08">
      <w:pPr>
        <w:rPr>
          <w:rFonts w:ascii="Arial" w:hAnsi="Arial" w:cs="Arial"/>
          <w:b/>
          <w:bCs/>
          <w:sz w:val="24"/>
          <w:szCs w:val="24"/>
        </w:rPr>
      </w:pPr>
      <w:r w:rsidRPr="00451D08">
        <w:rPr>
          <w:rFonts w:ascii="Arial" w:hAnsi="Arial" w:cs="Arial"/>
          <w:b/>
          <w:bCs/>
          <w:sz w:val="24"/>
          <w:szCs w:val="24"/>
        </w:rPr>
        <w:t>3. Electronic Credit Reversal and Reclaimed Statement (ECRS)</w:t>
      </w:r>
    </w:p>
    <w:p w14:paraId="10983009" w14:textId="77777777" w:rsidR="00451D08" w:rsidRPr="00451D08" w:rsidRDefault="00451D08" w:rsidP="00451D08">
      <w:pPr>
        <w:rPr>
          <w:rFonts w:ascii="Arial" w:hAnsi="Arial" w:cs="Arial"/>
          <w:b/>
          <w:bCs/>
          <w:sz w:val="24"/>
          <w:szCs w:val="24"/>
        </w:rPr>
      </w:pPr>
      <w:r w:rsidRPr="00451D08">
        <w:rPr>
          <w:rFonts w:ascii="Arial" w:hAnsi="Arial" w:cs="Arial"/>
          <w:b/>
          <w:bCs/>
          <w:sz w:val="24"/>
          <w:szCs w:val="24"/>
        </w:rPr>
        <w:t>Objective</w:t>
      </w:r>
    </w:p>
    <w:p w14:paraId="39778763" w14:textId="77777777" w:rsidR="00451D08" w:rsidRPr="00451D08" w:rsidRDefault="00451D08" w:rsidP="00451D08">
      <w:pPr>
        <w:rPr>
          <w:rFonts w:ascii="Arial" w:hAnsi="Arial" w:cs="Arial"/>
          <w:sz w:val="24"/>
          <w:szCs w:val="24"/>
        </w:rPr>
      </w:pPr>
      <w:r w:rsidRPr="00451D08">
        <w:rPr>
          <w:rFonts w:ascii="Arial" w:hAnsi="Arial" w:cs="Arial"/>
          <w:sz w:val="24"/>
          <w:szCs w:val="24"/>
        </w:rPr>
        <w:t>The GST Portal now tracks:</w:t>
      </w:r>
    </w:p>
    <w:p w14:paraId="3991AAB2" w14:textId="77777777" w:rsidR="00451D08" w:rsidRPr="00451D08" w:rsidRDefault="00451D08" w:rsidP="00451D08">
      <w:pPr>
        <w:numPr>
          <w:ilvl w:val="0"/>
          <w:numId w:val="5"/>
        </w:numPr>
        <w:rPr>
          <w:rFonts w:ascii="Arial" w:hAnsi="Arial" w:cs="Arial"/>
          <w:sz w:val="24"/>
          <w:szCs w:val="24"/>
        </w:rPr>
      </w:pPr>
      <w:r w:rsidRPr="00451D08">
        <w:rPr>
          <w:rFonts w:ascii="Arial" w:hAnsi="Arial" w:cs="Arial"/>
          <w:sz w:val="24"/>
          <w:szCs w:val="24"/>
        </w:rPr>
        <w:t>ITC reversed</w:t>
      </w:r>
    </w:p>
    <w:p w14:paraId="244E3E51" w14:textId="77777777" w:rsidR="00451D08" w:rsidRPr="00451D08" w:rsidRDefault="00451D08" w:rsidP="00451D08">
      <w:pPr>
        <w:numPr>
          <w:ilvl w:val="0"/>
          <w:numId w:val="5"/>
        </w:numPr>
        <w:rPr>
          <w:rFonts w:ascii="Arial" w:hAnsi="Arial" w:cs="Arial"/>
          <w:sz w:val="24"/>
          <w:szCs w:val="24"/>
        </w:rPr>
      </w:pPr>
      <w:r w:rsidRPr="00451D08">
        <w:rPr>
          <w:rFonts w:ascii="Arial" w:hAnsi="Arial" w:cs="Arial"/>
          <w:sz w:val="24"/>
          <w:szCs w:val="24"/>
        </w:rPr>
        <w:t>ITC reclaimed</w:t>
      </w:r>
    </w:p>
    <w:p w14:paraId="68B9601F" w14:textId="77777777" w:rsidR="00451D08" w:rsidRPr="00451D08" w:rsidRDefault="00451D08" w:rsidP="00451D08">
      <w:pPr>
        <w:rPr>
          <w:rFonts w:ascii="Arial" w:hAnsi="Arial" w:cs="Arial"/>
          <w:sz w:val="24"/>
          <w:szCs w:val="24"/>
        </w:rPr>
      </w:pPr>
      <w:r w:rsidRPr="00451D08">
        <w:rPr>
          <w:rFonts w:ascii="Arial" w:hAnsi="Arial" w:cs="Arial"/>
          <w:sz w:val="24"/>
          <w:szCs w:val="24"/>
        </w:rPr>
        <w:t>This system prevents double claims of ITC.</w:t>
      </w:r>
    </w:p>
    <w:p w14:paraId="2AA97608" w14:textId="77777777" w:rsidR="00451D08" w:rsidRPr="00451D08" w:rsidRDefault="00451D08" w:rsidP="00451D08">
      <w:pPr>
        <w:rPr>
          <w:rFonts w:ascii="Arial" w:hAnsi="Arial" w:cs="Arial"/>
          <w:b/>
          <w:bCs/>
          <w:sz w:val="24"/>
          <w:szCs w:val="24"/>
        </w:rPr>
      </w:pPr>
      <w:r w:rsidRPr="00451D08">
        <w:rPr>
          <w:rFonts w:ascii="Arial" w:hAnsi="Arial" w:cs="Arial"/>
          <w:b/>
          <w:bCs/>
          <w:sz w:val="24"/>
          <w:szCs w:val="24"/>
        </w:rPr>
        <w:t>Relevant Provisions</w:t>
      </w:r>
    </w:p>
    <w:p w14:paraId="4221D28B" w14:textId="77777777" w:rsidR="00451D08" w:rsidRPr="00451D08" w:rsidRDefault="00451D08" w:rsidP="00451D08">
      <w:pPr>
        <w:numPr>
          <w:ilvl w:val="0"/>
          <w:numId w:val="6"/>
        </w:numPr>
        <w:rPr>
          <w:rFonts w:ascii="Arial" w:hAnsi="Arial" w:cs="Arial"/>
          <w:sz w:val="24"/>
          <w:szCs w:val="24"/>
        </w:rPr>
      </w:pPr>
      <w:r w:rsidRPr="00451D08">
        <w:rPr>
          <w:rFonts w:ascii="Arial" w:hAnsi="Arial" w:cs="Arial"/>
          <w:sz w:val="24"/>
          <w:szCs w:val="24"/>
        </w:rPr>
        <w:t>Rule 37</w:t>
      </w:r>
    </w:p>
    <w:p w14:paraId="2696FCD5" w14:textId="77777777" w:rsidR="00451D08" w:rsidRPr="00451D08" w:rsidRDefault="00451D08" w:rsidP="00451D08">
      <w:pPr>
        <w:numPr>
          <w:ilvl w:val="0"/>
          <w:numId w:val="6"/>
        </w:numPr>
        <w:rPr>
          <w:rFonts w:ascii="Arial" w:hAnsi="Arial" w:cs="Arial"/>
          <w:sz w:val="24"/>
          <w:szCs w:val="24"/>
        </w:rPr>
      </w:pPr>
      <w:r w:rsidRPr="00451D08">
        <w:rPr>
          <w:rFonts w:ascii="Arial" w:hAnsi="Arial" w:cs="Arial"/>
          <w:sz w:val="24"/>
          <w:szCs w:val="24"/>
        </w:rPr>
        <w:t>Rule 37A</w:t>
      </w:r>
    </w:p>
    <w:p w14:paraId="096E4528" w14:textId="77777777" w:rsidR="00451D08" w:rsidRPr="00451D08" w:rsidRDefault="00451D08" w:rsidP="00451D08">
      <w:pPr>
        <w:numPr>
          <w:ilvl w:val="0"/>
          <w:numId w:val="6"/>
        </w:numPr>
        <w:rPr>
          <w:rFonts w:ascii="Arial" w:hAnsi="Arial" w:cs="Arial"/>
          <w:sz w:val="24"/>
          <w:szCs w:val="24"/>
        </w:rPr>
      </w:pPr>
      <w:r w:rsidRPr="00451D08">
        <w:rPr>
          <w:rFonts w:ascii="Arial" w:hAnsi="Arial" w:cs="Arial"/>
          <w:sz w:val="24"/>
          <w:szCs w:val="24"/>
        </w:rPr>
        <w:t>Rule 42</w:t>
      </w:r>
    </w:p>
    <w:p w14:paraId="665FD7D6" w14:textId="77777777" w:rsidR="00451D08" w:rsidRPr="00451D08" w:rsidRDefault="00451D08" w:rsidP="00451D08">
      <w:pPr>
        <w:numPr>
          <w:ilvl w:val="0"/>
          <w:numId w:val="6"/>
        </w:numPr>
        <w:rPr>
          <w:rFonts w:ascii="Arial" w:hAnsi="Arial" w:cs="Arial"/>
          <w:sz w:val="24"/>
          <w:szCs w:val="24"/>
        </w:rPr>
      </w:pPr>
      <w:r w:rsidRPr="00451D08">
        <w:rPr>
          <w:rFonts w:ascii="Arial" w:hAnsi="Arial" w:cs="Arial"/>
          <w:sz w:val="24"/>
          <w:szCs w:val="24"/>
        </w:rPr>
        <w:t>Rule 43</w:t>
      </w:r>
    </w:p>
    <w:p w14:paraId="05E81173" w14:textId="77777777" w:rsidR="00451D08" w:rsidRPr="00451D08" w:rsidRDefault="00451D08" w:rsidP="00451D08">
      <w:pPr>
        <w:rPr>
          <w:rFonts w:ascii="Arial" w:hAnsi="Arial" w:cs="Arial"/>
          <w:sz w:val="24"/>
          <w:szCs w:val="24"/>
        </w:rPr>
      </w:pPr>
      <w:r w:rsidRPr="00451D08">
        <w:rPr>
          <w:rFonts w:ascii="Arial" w:hAnsi="Arial" w:cs="Arial"/>
          <w:sz w:val="24"/>
          <w:szCs w:val="24"/>
        </w:rPr>
        <w:t>Whenever ITC is reversed due to:</w:t>
      </w:r>
    </w:p>
    <w:p w14:paraId="32F2210D" w14:textId="77777777" w:rsidR="00451D08" w:rsidRPr="00451D08" w:rsidRDefault="00451D08" w:rsidP="00451D08">
      <w:pPr>
        <w:numPr>
          <w:ilvl w:val="0"/>
          <w:numId w:val="7"/>
        </w:numPr>
        <w:rPr>
          <w:rFonts w:ascii="Arial" w:hAnsi="Arial" w:cs="Arial"/>
          <w:sz w:val="24"/>
          <w:szCs w:val="24"/>
        </w:rPr>
      </w:pPr>
      <w:r w:rsidRPr="00451D08">
        <w:rPr>
          <w:rFonts w:ascii="Arial" w:hAnsi="Arial" w:cs="Arial"/>
          <w:sz w:val="24"/>
          <w:szCs w:val="24"/>
        </w:rPr>
        <w:t>Non-payment within 180 days</w:t>
      </w:r>
    </w:p>
    <w:p w14:paraId="0DEAB303" w14:textId="77777777" w:rsidR="00451D08" w:rsidRPr="00451D08" w:rsidRDefault="00451D08" w:rsidP="00451D08">
      <w:pPr>
        <w:numPr>
          <w:ilvl w:val="0"/>
          <w:numId w:val="7"/>
        </w:numPr>
        <w:rPr>
          <w:rFonts w:ascii="Arial" w:hAnsi="Arial" w:cs="Arial"/>
          <w:sz w:val="24"/>
          <w:szCs w:val="24"/>
        </w:rPr>
      </w:pPr>
      <w:r w:rsidRPr="00451D08">
        <w:rPr>
          <w:rFonts w:ascii="Arial" w:hAnsi="Arial" w:cs="Arial"/>
          <w:sz w:val="24"/>
          <w:szCs w:val="24"/>
        </w:rPr>
        <w:t>Supplier's non-compliance</w:t>
      </w:r>
    </w:p>
    <w:p w14:paraId="7FE231E8" w14:textId="77777777" w:rsidR="00451D08" w:rsidRPr="00451D08" w:rsidRDefault="00451D08" w:rsidP="00451D08">
      <w:pPr>
        <w:numPr>
          <w:ilvl w:val="0"/>
          <w:numId w:val="7"/>
        </w:numPr>
        <w:rPr>
          <w:rFonts w:ascii="Arial" w:hAnsi="Arial" w:cs="Arial"/>
          <w:sz w:val="24"/>
          <w:szCs w:val="24"/>
        </w:rPr>
      </w:pPr>
      <w:r w:rsidRPr="00451D08">
        <w:rPr>
          <w:rFonts w:ascii="Arial" w:hAnsi="Arial" w:cs="Arial"/>
          <w:sz w:val="24"/>
          <w:szCs w:val="24"/>
        </w:rPr>
        <w:t>Exempt turnover adjustments</w:t>
      </w:r>
    </w:p>
    <w:p w14:paraId="23A19DD9" w14:textId="77777777" w:rsidR="00451D08" w:rsidRPr="00451D08" w:rsidRDefault="00451D08" w:rsidP="00451D08">
      <w:pPr>
        <w:rPr>
          <w:rFonts w:ascii="Arial" w:hAnsi="Arial" w:cs="Arial"/>
          <w:sz w:val="24"/>
          <w:szCs w:val="24"/>
        </w:rPr>
      </w:pPr>
      <w:r w:rsidRPr="00451D08">
        <w:rPr>
          <w:rFonts w:ascii="Arial" w:hAnsi="Arial" w:cs="Arial"/>
          <w:sz w:val="24"/>
          <w:szCs w:val="24"/>
        </w:rPr>
        <w:t>the reversal is electronically tracked.</w:t>
      </w:r>
    </w:p>
    <w:p w14:paraId="0A315E62" w14:textId="37A37045" w:rsidR="00451D08" w:rsidRPr="00451D08" w:rsidRDefault="00451D08" w:rsidP="00451D08">
      <w:pPr>
        <w:rPr>
          <w:rFonts w:ascii="Arial" w:hAnsi="Arial" w:cs="Arial"/>
          <w:sz w:val="24"/>
          <w:szCs w:val="24"/>
        </w:rPr>
      </w:pPr>
      <w:r w:rsidRPr="00451D08">
        <w:rPr>
          <w:rFonts w:ascii="Arial" w:hAnsi="Arial" w:cs="Arial"/>
          <w:sz w:val="24"/>
          <w:szCs w:val="24"/>
        </w:rPr>
        <w:t xml:space="preserve">Subsequent reclaim is allowed only when statutory conditions are satisfied. </w:t>
      </w:r>
    </w:p>
    <w:p w14:paraId="22FE9332" w14:textId="77777777" w:rsidR="00451D08" w:rsidRPr="00451D08" w:rsidRDefault="00451D08" w:rsidP="00451D08">
      <w:pPr>
        <w:rPr>
          <w:rFonts w:ascii="Arial" w:hAnsi="Arial" w:cs="Arial"/>
          <w:b/>
          <w:bCs/>
          <w:sz w:val="24"/>
          <w:szCs w:val="24"/>
        </w:rPr>
      </w:pPr>
      <w:r w:rsidRPr="00451D08">
        <w:rPr>
          <w:rFonts w:ascii="Arial" w:hAnsi="Arial" w:cs="Arial"/>
          <w:b/>
          <w:bCs/>
          <w:sz w:val="24"/>
          <w:szCs w:val="24"/>
        </w:rPr>
        <w:t>Example</w:t>
      </w:r>
    </w:p>
    <w:p w14:paraId="1B61A47B" w14:textId="77777777" w:rsidR="00451D08" w:rsidRPr="00451D08" w:rsidRDefault="00451D08" w:rsidP="00451D08">
      <w:pPr>
        <w:rPr>
          <w:rFonts w:ascii="Arial" w:hAnsi="Arial" w:cs="Arial"/>
          <w:sz w:val="24"/>
          <w:szCs w:val="24"/>
        </w:rPr>
      </w:pPr>
      <w:r w:rsidRPr="00451D08">
        <w:rPr>
          <w:rFonts w:ascii="Arial" w:hAnsi="Arial" w:cs="Arial"/>
          <w:sz w:val="24"/>
          <w:szCs w:val="24"/>
        </w:rPr>
        <w:t>A company avails ITC of ₹50,000.</w:t>
      </w:r>
    </w:p>
    <w:p w14:paraId="0BEFC8D2" w14:textId="77777777" w:rsidR="00451D08" w:rsidRPr="00451D08" w:rsidRDefault="00451D08" w:rsidP="00451D08">
      <w:pPr>
        <w:rPr>
          <w:rFonts w:ascii="Arial" w:hAnsi="Arial" w:cs="Arial"/>
          <w:sz w:val="24"/>
          <w:szCs w:val="24"/>
        </w:rPr>
      </w:pPr>
      <w:r w:rsidRPr="00451D08">
        <w:rPr>
          <w:rFonts w:ascii="Arial" w:hAnsi="Arial" w:cs="Arial"/>
          <w:sz w:val="24"/>
          <w:szCs w:val="24"/>
        </w:rPr>
        <w:t>Payment to supplier is not made within 180 days.</w:t>
      </w:r>
    </w:p>
    <w:p w14:paraId="08F7D45E" w14:textId="77777777" w:rsidR="00451D08" w:rsidRPr="00451D08" w:rsidRDefault="00451D08" w:rsidP="00451D08">
      <w:pPr>
        <w:rPr>
          <w:rFonts w:ascii="Arial" w:hAnsi="Arial" w:cs="Arial"/>
          <w:sz w:val="24"/>
          <w:szCs w:val="24"/>
        </w:rPr>
      </w:pPr>
      <w:r w:rsidRPr="00451D08">
        <w:rPr>
          <w:rFonts w:ascii="Arial" w:hAnsi="Arial" w:cs="Arial"/>
          <w:sz w:val="24"/>
          <w:szCs w:val="24"/>
        </w:rPr>
        <w:t>Under Rule 37:</w:t>
      </w:r>
    </w:p>
    <w:p w14:paraId="269AD6D8" w14:textId="77777777" w:rsidR="00451D08" w:rsidRPr="00451D08" w:rsidRDefault="00451D08" w:rsidP="00451D08">
      <w:pPr>
        <w:numPr>
          <w:ilvl w:val="0"/>
          <w:numId w:val="8"/>
        </w:numPr>
        <w:rPr>
          <w:rFonts w:ascii="Arial" w:hAnsi="Arial" w:cs="Arial"/>
          <w:sz w:val="24"/>
          <w:szCs w:val="24"/>
        </w:rPr>
      </w:pPr>
      <w:r w:rsidRPr="00451D08">
        <w:rPr>
          <w:rFonts w:ascii="Arial" w:hAnsi="Arial" w:cs="Arial"/>
          <w:sz w:val="24"/>
          <w:szCs w:val="24"/>
        </w:rPr>
        <w:t>ITC must be reversed.</w:t>
      </w:r>
    </w:p>
    <w:p w14:paraId="1D30D4E4" w14:textId="77777777" w:rsidR="00451D08" w:rsidRPr="00451D08" w:rsidRDefault="00451D08" w:rsidP="00451D08">
      <w:pPr>
        <w:rPr>
          <w:rFonts w:ascii="Arial" w:hAnsi="Arial" w:cs="Arial"/>
          <w:sz w:val="24"/>
          <w:szCs w:val="24"/>
        </w:rPr>
      </w:pPr>
      <w:r w:rsidRPr="00451D08">
        <w:rPr>
          <w:rFonts w:ascii="Arial" w:hAnsi="Arial" w:cs="Arial"/>
          <w:sz w:val="24"/>
          <w:szCs w:val="24"/>
        </w:rPr>
        <w:t>After payment is made:</w:t>
      </w:r>
    </w:p>
    <w:p w14:paraId="7564000C" w14:textId="77777777" w:rsidR="00451D08" w:rsidRPr="00451D08" w:rsidRDefault="00451D08" w:rsidP="00451D08">
      <w:pPr>
        <w:numPr>
          <w:ilvl w:val="0"/>
          <w:numId w:val="9"/>
        </w:numPr>
        <w:rPr>
          <w:rFonts w:ascii="Arial" w:hAnsi="Arial" w:cs="Arial"/>
          <w:sz w:val="24"/>
          <w:szCs w:val="24"/>
        </w:rPr>
      </w:pPr>
      <w:r w:rsidRPr="00451D08">
        <w:rPr>
          <w:rFonts w:ascii="Arial" w:hAnsi="Arial" w:cs="Arial"/>
          <w:sz w:val="24"/>
          <w:szCs w:val="24"/>
        </w:rPr>
        <w:t>ITC may be reclaimed.</w:t>
      </w:r>
    </w:p>
    <w:p w14:paraId="1862C8AB" w14:textId="37CB7C8A" w:rsidR="00451D08" w:rsidRPr="00451D08" w:rsidRDefault="00451D08" w:rsidP="00451D08">
      <w:pPr>
        <w:rPr>
          <w:rFonts w:ascii="Arial" w:hAnsi="Arial" w:cs="Arial"/>
          <w:sz w:val="24"/>
          <w:szCs w:val="24"/>
        </w:rPr>
      </w:pPr>
      <w:r w:rsidRPr="00451D08">
        <w:rPr>
          <w:rFonts w:ascii="Arial" w:hAnsi="Arial" w:cs="Arial"/>
          <w:sz w:val="24"/>
          <w:szCs w:val="24"/>
        </w:rPr>
        <w:t xml:space="preserve">The ECRS system tracks both events electronically. </w:t>
      </w:r>
    </w:p>
    <w:p w14:paraId="20B908C9" w14:textId="77777777" w:rsidR="00451D08" w:rsidRPr="00451D08" w:rsidRDefault="00451D08" w:rsidP="00451D08">
      <w:pPr>
        <w:rPr>
          <w:rFonts w:ascii="Arial" w:hAnsi="Arial" w:cs="Arial"/>
          <w:sz w:val="24"/>
          <w:szCs w:val="24"/>
        </w:rPr>
      </w:pPr>
      <w:r w:rsidRPr="00451D08">
        <w:rPr>
          <w:rFonts w:ascii="Arial" w:hAnsi="Arial" w:cs="Arial"/>
          <w:sz w:val="24"/>
          <w:szCs w:val="24"/>
        </w:rPr>
        <w:pict w14:anchorId="3AC1ADB3">
          <v:rect id="_x0000_i1088" style="width:0;height:1.5pt" o:hralign="center" o:hrstd="t" o:hr="t" fillcolor="#a0a0a0" stroked="f"/>
        </w:pict>
      </w:r>
    </w:p>
    <w:p w14:paraId="7592D77D" w14:textId="77777777" w:rsidR="00451D08" w:rsidRPr="00451D08" w:rsidRDefault="00451D08" w:rsidP="00451D08">
      <w:pPr>
        <w:rPr>
          <w:rFonts w:ascii="Arial" w:hAnsi="Arial" w:cs="Arial"/>
          <w:b/>
          <w:bCs/>
          <w:sz w:val="24"/>
          <w:szCs w:val="24"/>
        </w:rPr>
      </w:pPr>
      <w:r w:rsidRPr="00451D08">
        <w:rPr>
          <w:rFonts w:ascii="Arial" w:hAnsi="Arial" w:cs="Arial"/>
          <w:b/>
          <w:bCs/>
          <w:sz w:val="24"/>
          <w:szCs w:val="24"/>
        </w:rPr>
        <w:t>4. Rule 37A Compliance – Supplier Return Filing Monitoring</w:t>
      </w:r>
    </w:p>
    <w:p w14:paraId="1D61D9C3" w14:textId="77777777" w:rsidR="00451D08" w:rsidRPr="00451D08" w:rsidRDefault="00451D08" w:rsidP="00451D08">
      <w:pPr>
        <w:rPr>
          <w:rFonts w:ascii="Arial" w:hAnsi="Arial" w:cs="Arial"/>
          <w:b/>
          <w:bCs/>
          <w:sz w:val="24"/>
          <w:szCs w:val="24"/>
        </w:rPr>
      </w:pPr>
      <w:r w:rsidRPr="00451D08">
        <w:rPr>
          <w:rFonts w:ascii="Arial" w:hAnsi="Arial" w:cs="Arial"/>
          <w:b/>
          <w:bCs/>
          <w:sz w:val="24"/>
          <w:szCs w:val="24"/>
        </w:rPr>
        <w:t>Relevant Provision</w:t>
      </w:r>
    </w:p>
    <w:p w14:paraId="4DEBD15A" w14:textId="77777777" w:rsidR="00451D08" w:rsidRPr="00451D08" w:rsidRDefault="00451D08" w:rsidP="00451D08">
      <w:pPr>
        <w:rPr>
          <w:rFonts w:ascii="Arial" w:hAnsi="Arial" w:cs="Arial"/>
          <w:sz w:val="24"/>
          <w:szCs w:val="24"/>
        </w:rPr>
      </w:pPr>
      <w:r w:rsidRPr="00451D08">
        <w:rPr>
          <w:rFonts w:ascii="Arial" w:hAnsi="Arial" w:cs="Arial"/>
          <w:sz w:val="24"/>
          <w:szCs w:val="24"/>
        </w:rPr>
        <w:t>Rule 37A of CGST Rules</w:t>
      </w:r>
    </w:p>
    <w:p w14:paraId="6ACB366B" w14:textId="77777777" w:rsidR="00451D08" w:rsidRPr="00451D08" w:rsidRDefault="00451D08" w:rsidP="00451D08">
      <w:pPr>
        <w:rPr>
          <w:rFonts w:ascii="Arial" w:hAnsi="Arial" w:cs="Arial"/>
          <w:sz w:val="24"/>
          <w:szCs w:val="24"/>
        </w:rPr>
      </w:pPr>
      <w:r w:rsidRPr="00451D08">
        <w:rPr>
          <w:rFonts w:ascii="Arial" w:hAnsi="Arial" w:cs="Arial"/>
          <w:sz w:val="24"/>
          <w:szCs w:val="24"/>
        </w:rPr>
        <w:t>Where:</w:t>
      </w:r>
    </w:p>
    <w:p w14:paraId="10F3A714" w14:textId="77777777" w:rsidR="00451D08" w:rsidRPr="00451D08" w:rsidRDefault="00451D08" w:rsidP="00451D08">
      <w:pPr>
        <w:numPr>
          <w:ilvl w:val="0"/>
          <w:numId w:val="10"/>
        </w:numPr>
        <w:rPr>
          <w:rFonts w:ascii="Arial" w:hAnsi="Arial" w:cs="Arial"/>
          <w:sz w:val="24"/>
          <w:szCs w:val="24"/>
        </w:rPr>
      </w:pPr>
      <w:r w:rsidRPr="00451D08">
        <w:rPr>
          <w:rFonts w:ascii="Arial" w:hAnsi="Arial" w:cs="Arial"/>
          <w:sz w:val="24"/>
          <w:szCs w:val="24"/>
        </w:rPr>
        <w:t>Supplier has uploaded invoice in GSTR-1</w:t>
      </w:r>
    </w:p>
    <w:p w14:paraId="6E5D55A6" w14:textId="77777777" w:rsidR="00451D08" w:rsidRPr="00451D08" w:rsidRDefault="00451D08" w:rsidP="00451D08">
      <w:pPr>
        <w:numPr>
          <w:ilvl w:val="0"/>
          <w:numId w:val="10"/>
        </w:numPr>
        <w:rPr>
          <w:rFonts w:ascii="Arial" w:hAnsi="Arial" w:cs="Arial"/>
          <w:sz w:val="24"/>
          <w:szCs w:val="24"/>
        </w:rPr>
      </w:pPr>
      <w:r w:rsidRPr="00451D08">
        <w:rPr>
          <w:rFonts w:ascii="Arial" w:hAnsi="Arial" w:cs="Arial"/>
          <w:sz w:val="24"/>
          <w:szCs w:val="24"/>
        </w:rPr>
        <w:t>Recipient has availed ITC</w:t>
      </w:r>
    </w:p>
    <w:p w14:paraId="0DABA1AA" w14:textId="77777777" w:rsidR="00451D08" w:rsidRPr="00451D08" w:rsidRDefault="00451D08" w:rsidP="00451D08">
      <w:pPr>
        <w:numPr>
          <w:ilvl w:val="0"/>
          <w:numId w:val="10"/>
        </w:numPr>
        <w:rPr>
          <w:rFonts w:ascii="Arial" w:hAnsi="Arial" w:cs="Arial"/>
          <w:sz w:val="24"/>
          <w:szCs w:val="24"/>
        </w:rPr>
      </w:pPr>
      <w:r w:rsidRPr="00451D08">
        <w:rPr>
          <w:rFonts w:ascii="Arial" w:hAnsi="Arial" w:cs="Arial"/>
          <w:sz w:val="24"/>
          <w:szCs w:val="24"/>
        </w:rPr>
        <w:t>Supplier fails to file GSTR-3B</w:t>
      </w:r>
    </w:p>
    <w:p w14:paraId="0C65C104" w14:textId="77777777" w:rsidR="00451D08" w:rsidRPr="00451D08" w:rsidRDefault="00451D08" w:rsidP="00451D08">
      <w:pPr>
        <w:rPr>
          <w:rFonts w:ascii="Arial" w:hAnsi="Arial" w:cs="Arial"/>
          <w:sz w:val="24"/>
          <w:szCs w:val="24"/>
        </w:rPr>
      </w:pPr>
      <w:r w:rsidRPr="00451D08">
        <w:rPr>
          <w:rFonts w:ascii="Arial" w:hAnsi="Arial" w:cs="Arial"/>
          <w:sz w:val="24"/>
          <w:szCs w:val="24"/>
        </w:rPr>
        <w:t>Then recipient is required to reverse ITC.</w:t>
      </w:r>
    </w:p>
    <w:p w14:paraId="36AA6A28" w14:textId="3B825AE7" w:rsidR="00451D08" w:rsidRPr="00451D08" w:rsidRDefault="00451D08" w:rsidP="00451D08">
      <w:pPr>
        <w:rPr>
          <w:rFonts w:ascii="Arial" w:hAnsi="Arial" w:cs="Arial"/>
          <w:sz w:val="24"/>
          <w:szCs w:val="24"/>
        </w:rPr>
      </w:pPr>
      <w:r w:rsidRPr="00451D08">
        <w:rPr>
          <w:rFonts w:ascii="Arial" w:hAnsi="Arial" w:cs="Arial"/>
          <w:sz w:val="24"/>
          <w:szCs w:val="24"/>
        </w:rPr>
        <w:t xml:space="preserve">The ITC can be reclaimed once supplier files the return and pays tax. </w:t>
      </w:r>
    </w:p>
    <w:p w14:paraId="42B740BF" w14:textId="77777777" w:rsidR="00451D08" w:rsidRPr="00451D08" w:rsidRDefault="00451D08" w:rsidP="00451D08">
      <w:pPr>
        <w:rPr>
          <w:rFonts w:ascii="Arial" w:hAnsi="Arial" w:cs="Arial"/>
          <w:b/>
          <w:bCs/>
          <w:sz w:val="24"/>
          <w:szCs w:val="24"/>
        </w:rPr>
      </w:pPr>
      <w:r w:rsidRPr="00451D08">
        <w:rPr>
          <w:rFonts w:ascii="Arial" w:hAnsi="Arial" w:cs="Arial"/>
          <w:b/>
          <w:bCs/>
          <w:sz w:val="24"/>
          <w:szCs w:val="24"/>
        </w:rPr>
        <w:t>Practical Significance</w:t>
      </w:r>
    </w:p>
    <w:p w14:paraId="0B3BAC6B" w14:textId="77777777" w:rsidR="00451D08" w:rsidRPr="00451D08" w:rsidRDefault="00451D08" w:rsidP="00451D08">
      <w:pPr>
        <w:rPr>
          <w:rFonts w:ascii="Arial" w:hAnsi="Arial" w:cs="Arial"/>
          <w:sz w:val="24"/>
          <w:szCs w:val="24"/>
        </w:rPr>
      </w:pPr>
      <w:r w:rsidRPr="00451D08">
        <w:rPr>
          <w:rFonts w:ascii="Arial" w:hAnsi="Arial" w:cs="Arial"/>
          <w:sz w:val="24"/>
          <w:szCs w:val="24"/>
        </w:rPr>
        <w:t>Businesses must now monitor not only invoice upload but also supplier return filing status.</w:t>
      </w:r>
    </w:p>
    <w:p w14:paraId="0B522DDC" w14:textId="77777777" w:rsidR="00451D08" w:rsidRPr="00451D08" w:rsidRDefault="00451D08" w:rsidP="00451D08">
      <w:pPr>
        <w:rPr>
          <w:rFonts w:ascii="Arial" w:hAnsi="Arial" w:cs="Arial"/>
          <w:sz w:val="24"/>
          <w:szCs w:val="24"/>
        </w:rPr>
      </w:pPr>
      <w:r w:rsidRPr="00451D08">
        <w:rPr>
          <w:rFonts w:ascii="Arial" w:hAnsi="Arial" w:cs="Arial"/>
          <w:sz w:val="24"/>
          <w:szCs w:val="24"/>
        </w:rPr>
        <w:pict w14:anchorId="33317442">
          <v:rect id="_x0000_i1089" style="width:0;height:1.5pt" o:hralign="center" o:hrstd="t" o:hr="t" fillcolor="#a0a0a0" stroked="f"/>
        </w:pict>
      </w:r>
    </w:p>
    <w:p w14:paraId="6AB6121B" w14:textId="77777777" w:rsidR="00451D08" w:rsidRPr="00451D08" w:rsidRDefault="00451D08" w:rsidP="00451D08">
      <w:pPr>
        <w:rPr>
          <w:rFonts w:ascii="Arial" w:hAnsi="Arial" w:cs="Arial"/>
          <w:b/>
          <w:bCs/>
          <w:sz w:val="24"/>
          <w:szCs w:val="24"/>
        </w:rPr>
      </w:pPr>
      <w:r w:rsidRPr="00451D08">
        <w:rPr>
          <w:rFonts w:ascii="Arial" w:hAnsi="Arial" w:cs="Arial"/>
          <w:b/>
          <w:bCs/>
          <w:sz w:val="24"/>
          <w:szCs w:val="24"/>
        </w:rPr>
        <w:t>5. Reverse Charge Mechanism (RCM) and ITC</w:t>
      </w:r>
    </w:p>
    <w:p w14:paraId="65E1970F" w14:textId="77777777" w:rsidR="00451D08" w:rsidRPr="00451D08" w:rsidRDefault="00451D08" w:rsidP="00451D08">
      <w:pPr>
        <w:rPr>
          <w:rFonts w:ascii="Arial" w:hAnsi="Arial" w:cs="Arial"/>
          <w:b/>
          <w:bCs/>
          <w:sz w:val="24"/>
          <w:szCs w:val="24"/>
        </w:rPr>
      </w:pPr>
      <w:r w:rsidRPr="00451D08">
        <w:rPr>
          <w:rFonts w:ascii="Arial" w:hAnsi="Arial" w:cs="Arial"/>
          <w:b/>
          <w:bCs/>
          <w:sz w:val="24"/>
          <w:szCs w:val="24"/>
        </w:rPr>
        <w:t>Relevant Provisions</w:t>
      </w:r>
    </w:p>
    <w:p w14:paraId="1A6D00F4" w14:textId="77777777" w:rsidR="00451D08" w:rsidRPr="00451D08" w:rsidRDefault="00451D08" w:rsidP="00451D08">
      <w:pPr>
        <w:numPr>
          <w:ilvl w:val="0"/>
          <w:numId w:val="11"/>
        </w:numPr>
        <w:rPr>
          <w:rFonts w:ascii="Arial" w:hAnsi="Arial" w:cs="Arial"/>
          <w:sz w:val="24"/>
          <w:szCs w:val="24"/>
        </w:rPr>
      </w:pPr>
      <w:r w:rsidRPr="00451D08">
        <w:rPr>
          <w:rFonts w:ascii="Arial" w:hAnsi="Arial" w:cs="Arial"/>
          <w:sz w:val="24"/>
          <w:szCs w:val="24"/>
        </w:rPr>
        <w:t>Section 9(3) CGST Act</w:t>
      </w:r>
    </w:p>
    <w:p w14:paraId="62CA56B2" w14:textId="77777777" w:rsidR="00451D08" w:rsidRPr="00451D08" w:rsidRDefault="00451D08" w:rsidP="00451D08">
      <w:pPr>
        <w:numPr>
          <w:ilvl w:val="0"/>
          <w:numId w:val="11"/>
        </w:numPr>
        <w:rPr>
          <w:rFonts w:ascii="Arial" w:hAnsi="Arial" w:cs="Arial"/>
          <w:sz w:val="24"/>
          <w:szCs w:val="24"/>
        </w:rPr>
      </w:pPr>
      <w:r w:rsidRPr="00451D08">
        <w:rPr>
          <w:rFonts w:ascii="Arial" w:hAnsi="Arial" w:cs="Arial"/>
          <w:sz w:val="24"/>
          <w:szCs w:val="24"/>
        </w:rPr>
        <w:t>Section 9(4) CGST Act</w:t>
      </w:r>
    </w:p>
    <w:p w14:paraId="076CE480" w14:textId="77777777" w:rsidR="00451D08" w:rsidRPr="00451D08" w:rsidRDefault="00451D08" w:rsidP="00451D08">
      <w:pPr>
        <w:numPr>
          <w:ilvl w:val="0"/>
          <w:numId w:val="11"/>
        </w:numPr>
        <w:rPr>
          <w:rFonts w:ascii="Arial" w:hAnsi="Arial" w:cs="Arial"/>
          <w:sz w:val="24"/>
          <w:szCs w:val="24"/>
        </w:rPr>
      </w:pPr>
      <w:r w:rsidRPr="00451D08">
        <w:rPr>
          <w:rFonts w:ascii="Arial" w:hAnsi="Arial" w:cs="Arial"/>
          <w:sz w:val="24"/>
          <w:szCs w:val="24"/>
        </w:rPr>
        <w:t>Section 16 CGST Act</w:t>
      </w:r>
    </w:p>
    <w:p w14:paraId="7786C34F" w14:textId="77777777" w:rsidR="00451D08" w:rsidRPr="00451D08" w:rsidRDefault="00451D08" w:rsidP="00451D08">
      <w:pPr>
        <w:rPr>
          <w:rFonts w:ascii="Arial" w:hAnsi="Arial" w:cs="Arial"/>
          <w:b/>
          <w:bCs/>
          <w:sz w:val="24"/>
          <w:szCs w:val="24"/>
        </w:rPr>
      </w:pPr>
      <w:r w:rsidRPr="00451D08">
        <w:rPr>
          <w:rFonts w:ascii="Arial" w:hAnsi="Arial" w:cs="Arial"/>
          <w:b/>
          <w:bCs/>
          <w:sz w:val="24"/>
          <w:szCs w:val="24"/>
        </w:rPr>
        <w:t>Position</w:t>
      </w:r>
    </w:p>
    <w:p w14:paraId="07FFB27A" w14:textId="77777777" w:rsidR="00451D08" w:rsidRPr="00451D08" w:rsidRDefault="00451D08" w:rsidP="00451D08">
      <w:pPr>
        <w:rPr>
          <w:rFonts w:ascii="Arial" w:hAnsi="Arial" w:cs="Arial"/>
          <w:sz w:val="24"/>
          <w:szCs w:val="24"/>
        </w:rPr>
      </w:pPr>
      <w:r w:rsidRPr="00451D08">
        <w:rPr>
          <w:rFonts w:ascii="Arial" w:hAnsi="Arial" w:cs="Arial"/>
          <w:sz w:val="24"/>
          <w:szCs w:val="24"/>
        </w:rPr>
        <w:t>ITC on RCM transactions can be claimed only after:</w:t>
      </w:r>
    </w:p>
    <w:p w14:paraId="776EA0B3" w14:textId="77777777" w:rsidR="00451D08" w:rsidRPr="00451D08" w:rsidRDefault="00451D08" w:rsidP="00451D08">
      <w:pPr>
        <w:numPr>
          <w:ilvl w:val="0"/>
          <w:numId w:val="12"/>
        </w:numPr>
        <w:rPr>
          <w:rFonts w:ascii="Arial" w:hAnsi="Arial" w:cs="Arial"/>
          <w:sz w:val="24"/>
          <w:szCs w:val="24"/>
        </w:rPr>
      </w:pPr>
      <w:r w:rsidRPr="00451D08">
        <w:rPr>
          <w:rFonts w:ascii="Arial" w:hAnsi="Arial" w:cs="Arial"/>
          <w:sz w:val="24"/>
          <w:szCs w:val="24"/>
        </w:rPr>
        <w:t>GST is paid under reverse charge.</w:t>
      </w:r>
    </w:p>
    <w:p w14:paraId="6A17DD93" w14:textId="77777777" w:rsidR="00451D08" w:rsidRPr="00451D08" w:rsidRDefault="00451D08" w:rsidP="00451D08">
      <w:pPr>
        <w:numPr>
          <w:ilvl w:val="0"/>
          <w:numId w:val="12"/>
        </w:numPr>
        <w:rPr>
          <w:rFonts w:ascii="Arial" w:hAnsi="Arial" w:cs="Arial"/>
          <w:sz w:val="24"/>
          <w:szCs w:val="24"/>
        </w:rPr>
      </w:pPr>
      <w:r w:rsidRPr="00451D08">
        <w:rPr>
          <w:rFonts w:ascii="Arial" w:hAnsi="Arial" w:cs="Arial"/>
          <w:sz w:val="24"/>
          <w:szCs w:val="24"/>
        </w:rPr>
        <w:t>Other conditions of Section 16 are fulfilled.</w:t>
      </w:r>
    </w:p>
    <w:p w14:paraId="309C35A2" w14:textId="1F1B61B1" w:rsidR="00451D08" w:rsidRPr="00451D08" w:rsidRDefault="00451D08" w:rsidP="00451D08">
      <w:pPr>
        <w:rPr>
          <w:rFonts w:ascii="Arial" w:hAnsi="Arial" w:cs="Arial"/>
          <w:sz w:val="24"/>
          <w:szCs w:val="24"/>
        </w:rPr>
      </w:pPr>
      <w:r w:rsidRPr="00451D08">
        <w:rPr>
          <w:rFonts w:ascii="Arial" w:hAnsi="Arial" w:cs="Arial"/>
          <w:sz w:val="24"/>
          <w:szCs w:val="24"/>
        </w:rPr>
        <w:t xml:space="preserve">Portal validations in FY 2026-27 have become stricter. Immediate claim without payment of tax is not permissible. </w:t>
      </w:r>
    </w:p>
    <w:p w14:paraId="73C24A89" w14:textId="77777777" w:rsidR="00451D08" w:rsidRPr="00451D08" w:rsidRDefault="00451D08" w:rsidP="00451D08">
      <w:pPr>
        <w:rPr>
          <w:rFonts w:ascii="Arial" w:hAnsi="Arial" w:cs="Arial"/>
          <w:b/>
          <w:bCs/>
          <w:sz w:val="24"/>
          <w:szCs w:val="24"/>
        </w:rPr>
      </w:pPr>
      <w:r w:rsidRPr="00451D08">
        <w:rPr>
          <w:rFonts w:ascii="Arial" w:hAnsi="Arial" w:cs="Arial"/>
          <w:b/>
          <w:bCs/>
          <w:sz w:val="24"/>
          <w:szCs w:val="24"/>
        </w:rPr>
        <w:t>Example</w:t>
      </w:r>
    </w:p>
    <w:p w14:paraId="7FB25CEE" w14:textId="77777777" w:rsidR="00451D08" w:rsidRPr="00451D08" w:rsidRDefault="00451D08" w:rsidP="00451D08">
      <w:pPr>
        <w:rPr>
          <w:rFonts w:ascii="Arial" w:hAnsi="Arial" w:cs="Arial"/>
          <w:sz w:val="24"/>
          <w:szCs w:val="24"/>
        </w:rPr>
      </w:pPr>
      <w:r w:rsidRPr="00451D08">
        <w:rPr>
          <w:rFonts w:ascii="Arial" w:hAnsi="Arial" w:cs="Arial"/>
          <w:sz w:val="24"/>
          <w:szCs w:val="24"/>
        </w:rPr>
        <w:t>Legal Fees:</w:t>
      </w:r>
    </w:p>
    <w:p w14:paraId="78A41DB4" w14:textId="77777777" w:rsidR="00451D08" w:rsidRPr="00451D08" w:rsidRDefault="00451D08" w:rsidP="00451D08">
      <w:pPr>
        <w:numPr>
          <w:ilvl w:val="0"/>
          <w:numId w:val="13"/>
        </w:numPr>
        <w:rPr>
          <w:rFonts w:ascii="Arial" w:hAnsi="Arial" w:cs="Arial"/>
          <w:sz w:val="24"/>
          <w:szCs w:val="24"/>
        </w:rPr>
      </w:pPr>
      <w:r w:rsidRPr="00451D08">
        <w:rPr>
          <w:rFonts w:ascii="Arial" w:hAnsi="Arial" w:cs="Arial"/>
          <w:sz w:val="24"/>
          <w:szCs w:val="24"/>
        </w:rPr>
        <w:t>GST payable under RCM = ₹18,000</w:t>
      </w:r>
    </w:p>
    <w:p w14:paraId="4B147D59" w14:textId="77777777" w:rsidR="00451D08" w:rsidRPr="00451D08" w:rsidRDefault="00451D08" w:rsidP="00451D08">
      <w:pPr>
        <w:rPr>
          <w:rFonts w:ascii="Arial" w:hAnsi="Arial" w:cs="Arial"/>
          <w:sz w:val="24"/>
          <w:szCs w:val="24"/>
        </w:rPr>
      </w:pPr>
      <w:r w:rsidRPr="00451D08">
        <w:rPr>
          <w:rFonts w:ascii="Arial" w:hAnsi="Arial" w:cs="Arial"/>
          <w:sz w:val="24"/>
          <w:szCs w:val="24"/>
        </w:rPr>
        <w:t>Step 1:</w:t>
      </w:r>
      <w:r w:rsidRPr="00451D08">
        <w:rPr>
          <w:rFonts w:ascii="Arial" w:hAnsi="Arial" w:cs="Arial"/>
          <w:sz w:val="24"/>
          <w:szCs w:val="24"/>
        </w:rPr>
        <w:br/>
        <w:t>Pay ₹18,000 in cash through GSTR-3B.</w:t>
      </w:r>
    </w:p>
    <w:p w14:paraId="6C199C04" w14:textId="77777777" w:rsidR="00451D08" w:rsidRPr="00451D08" w:rsidRDefault="00451D08" w:rsidP="00451D08">
      <w:pPr>
        <w:rPr>
          <w:rFonts w:ascii="Arial" w:hAnsi="Arial" w:cs="Arial"/>
          <w:sz w:val="24"/>
          <w:szCs w:val="24"/>
        </w:rPr>
      </w:pPr>
      <w:r w:rsidRPr="00451D08">
        <w:rPr>
          <w:rFonts w:ascii="Arial" w:hAnsi="Arial" w:cs="Arial"/>
          <w:sz w:val="24"/>
          <w:szCs w:val="24"/>
        </w:rPr>
        <w:t>Step 2:</w:t>
      </w:r>
      <w:r w:rsidRPr="00451D08">
        <w:rPr>
          <w:rFonts w:ascii="Arial" w:hAnsi="Arial" w:cs="Arial"/>
          <w:sz w:val="24"/>
          <w:szCs w:val="24"/>
        </w:rPr>
        <w:br/>
        <w:t>Claim ITC of ₹18,000.</w:t>
      </w:r>
    </w:p>
    <w:p w14:paraId="2D8339BE" w14:textId="77777777" w:rsidR="00451D08" w:rsidRPr="00451D08" w:rsidRDefault="00451D08" w:rsidP="00451D08">
      <w:pPr>
        <w:rPr>
          <w:rFonts w:ascii="Arial" w:hAnsi="Arial" w:cs="Arial"/>
          <w:sz w:val="24"/>
          <w:szCs w:val="24"/>
        </w:rPr>
      </w:pPr>
      <w:r w:rsidRPr="00451D08">
        <w:rPr>
          <w:rFonts w:ascii="Arial" w:hAnsi="Arial" w:cs="Arial"/>
          <w:sz w:val="24"/>
          <w:szCs w:val="24"/>
        </w:rPr>
        <w:pict w14:anchorId="0B45E5B7">
          <v:rect id="_x0000_i1090" style="width:0;height:1.5pt" o:hralign="center" o:hrstd="t" o:hr="t" fillcolor="#a0a0a0" stroked="f"/>
        </w:pict>
      </w:r>
    </w:p>
    <w:p w14:paraId="1E4B0445" w14:textId="77777777" w:rsidR="00451D08" w:rsidRPr="00451D08" w:rsidRDefault="00451D08" w:rsidP="00451D08">
      <w:pPr>
        <w:rPr>
          <w:rFonts w:ascii="Arial" w:hAnsi="Arial" w:cs="Arial"/>
          <w:b/>
          <w:bCs/>
          <w:sz w:val="24"/>
          <w:szCs w:val="24"/>
        </w:rPr>
      </w:pPr>
      <w:r w:rsidRPr="00451D08">
        <w:rPr>
          <w:rFonts w:ascii="Arial" w:hAnsi="Arial" w:cs="Arial"/>
          <w:b/>
          <w:bCs/>
          <w:sz w:val="24"/>
          <w:szCs w:val="24"/>
        </w:rPr>
        <w:t>6. Expansion of Input Service Distributor (ISD) Framework</w:t>
      </w:r>
    </w:p>
    <w:p w14:paraId="3EEF812A" w14:textId="77777777" w:rsidR="00451D08" w:rsidRPr="00451D08" w:rsidRDefault="00451D08" w:rsidP="00451D08">
      <w:pPr>
        <w:rPr>
          <w:rFonts w:ascii="Arial" w:hAnsi="Arial" w:cs="Arial"/>
          <w:b/>
          <w:bCs/>
          <w:sz w:val="24"/>
          <w:szCs w:val="24"/>
        </w:rPr>
      </w:pPr>
      <w:r w:rsidRPr="00451D08">
        <w:rPr>
          <w:rFonts w:ascii="Arial" w:hAnsi="Arial" w:cs="Arial"/>
          <w:b/>
          <w:bCs/>
          <w:sz w:val="24"/>
          <w:szCs w:val="24"/>
        </w:rPr>
        <w:t>Finance Act, 2025 Amendment</w:t>
      </w:r>
    </w:p>
    <w:p w14:paraId="053B07A5" w14:textId="77777777" w:rsidR="00451D08" w:rsidRPr="00451D08" w:rsidRDefault="00451D08" w:rsidP="00451D08">
      <w:pPr>
        <w:rPr>
          <w:rFonts w:ascii="Arial" w:hAnsi="Arial" w:cs="Arial"/>
          <w:b/>
          <w:bCs/>
          <w:sz w:val="24"/>
          <w:szCs w:val="24"/>
        </w:rPr>
      </w:pPr>
      <w:r w:rsidRPr="00451D08">
        <w:rPr>
          <w:rFonts w:ascii="Arial" w:hAnsi="Arial" w:cs="Arial"/>
          <w:b/>
          <w:bCs/>
          <w:sz w:val="24"/>
          <w:szCs w:val="24"/>
        </w:rPr>
        <w:t>Relevant Sections</w:t>
      </w:r>
    </w:p>
    <w:p w14:paraId="44A1012F" w14:textId="77777777" w:rsidR="00451D08" w:rsidRPr="00451D08" w:rsidRDefault="00451D08" w:rsidP="00451D08">
      <w:pPr>
        <w:numPr>
          <w:ilvl w:val="0"/>
          <w:numId w:val="14"/>
        </w:numPr>
        <w:rPr>
          <w:rFonts w:ascii="Arial" w:hAnsi="Arial" w:cs="Arial"/>
          <w:sz w:val="24"/>
          <w:szCs w:val="24"/>
        </w:rPr>
      </w:pPr>
      <w:r w:rsidRPr="00451D08">
        <w:rPr>
          <w:rFonts w:ascii="Arial" w:hAnsi="Arial" w:cs="Arial"/>
          <w:sz w:val="24"/>
          <w:szCs w:val="24"/>
        </w:rPr>
        <w:t>Section 2(61)</w:t>
      </w:r>
    </w:p>
    <w:p w14:paraId="6FB74369" w14:textId="77777777" w:rsidR="00451D08" w:rsidRPr="00451D08" w:rsidRDefault="00451D08" w:rsidP="00451D08">
      <w:pPr>
        <w:numPr>
          <w:ilvl w:val="0"/>
          <w:numId w:val="14"/>
        </w:numPr>
        <w:rPr>
          <w:rFonts w:ascii="Arial" w:hAnsi="Arial" w:cs="Arial"/>
          <w:sz w:val="24"/>
          <w:szCs w:val="24"/>
        </w:rPr>
      </w:pPr>
      <w:r w:rsidRPr="00451D08">
        <w:rPr>
          <w:rFonts w:ascii="Arial" w:hAnsi="Arial" w:cs="Arial"/>
          <w:sz w:val="24"/>
          <w:szCs w:val="24"/>
        </w:rPr>
        <w:t>Section 20 of CGST Act</w:t>
      </w:r>
    </w:p>
    <w:p w14:paraId="64A1FD17" w14:textId="470D44A7" w:rsidR="00451D08" w:rsidRPr="00451D08" w:rsidRDefault="00451D08" w:rsidP="00451D08">
      <w:pPr>
        <w:rPr>
          <w:rFonts w:ascii="Arial" w:hAnsi="Arial" w:cs="Arial"/>
          <w:sz w:val="24"/>
          <w:szCs w:val="24"/>
        </w:rPr>
      </w:pPr>
      <w:r w:rsidRPr="00451D08">
        <w:rPr>
          <w:rFonts w:ascii="Arial" w:hAnsi="Arial" w:cs="Arial"/>
          <w:sz w:val="24"/>
          <w:szCs w:val="24"/>
        </w:rPr>
        <w:t xml:space="preserve">The definition of Input Service Distributor has been expanded to specifically cover RCM credits relating to inter-State supplies. </w:t>
      </w:r>
    </w:p>
    <w:p w14:paraId="35775591" w14:textId="77777777" w:rsidR="00451D08" w:rsidRPr="00451D08" w:rsidRDefault="00451D08" w:rsidP="00451D08">
      <w:pPr>
        <w:rPr>
          <w:rFonts w:ascii="Arial" w:hAnsi="Arial" w:cs="Arial"/>
          <w:b/>
          <w:bCs/>
          <w:sz w:val="24"/>
          <w:szCs w:val="24"/>
        </w:rPr>
      </w:pPr>
      <w:r w:rsidRPr="00451D08">
        <w:rPr>
          <w:rFonts w:ascii="Arial" w:hAnsi="Arial" w:cs="Arial"/>
          <w:b/>
          <w:bCs/>
          <w:sz w:val="24"/>
          <w:szCs w:val="24"/>
        </w:rPr>
        <w:t>Impact</w:t>
      </w:r>
    </w:p>
    <w:p w14:paraId="3E1A58F8" w14:textId="77777777" w:rsidR="00451D08" w:rsidRPr="00451D08" w:rsidRDefault="00451D08" w:rsidP="00451D08">
      <w:pPr>
        <w:rPr>
          <w:rFonts w:ascii="Arial" w:hAnsi="Arial" w:cs="Arial"/>
          <w:sz w:val="24"/>
          <w:szCs w:val="24"/>
        </w:rPr>
      </w:pPr>
      <w:r w:rsidRPr="00451D08">
        <w:rPr>
          <w:rFonts w:ascii="Arial" w:hAnsi="Arial" w:cs="Arial"/>
          <w:sz w:val="24"/>
          <w:szCs w:val="24"/>
        </w:rPr>
        <w:t>Head offices receiving common service invoices can distribute:</w:t>
      </w:r>
    </w:p>
    <w:p w14:paraId="13D3EBE7" w14:textId="77777777" w:rsidR="00451D08" w:rsidRPr="00451D08" w:rsidRDefault="00451D08" w:rsidP="00451D08">
      <w:pPr>
        <w:numPr>
          <w:ilvl w:val="0"/>
          <w:numId w:val="15"/>
        </w:numPr>
        <w:rPr>
          <w:rFonts w:ascii="Arial" w:hAnsi="Arial" w:cs="Arial"/>
          <w:sz w:val="24"/>
          <w:szCs w:val="24"/>
        </w:rPr>
      </w:pPr>
      <w:r w:rsidRPr="00451D08">
        <w:rPr>
          <w:rFonts w:ascii="Arial" w:hAnsi="Arial" w:cs="Arial"/>
          <w:sz w:val="24"/>
          <w:szCs w:val="24"/>
        </w:rPr>
        <w:t>Normal ITC</w:t>
      </w:r>
    </w:p>
    <w:p w14:paraId="440DAD2C" w14:textId="77777777" w:rsidR="00451D08" w:rsidRPr="00451D08" w:rsidRDefault="00451D08" w:rsidP="00451D08">
      <w:pPr>
        <w:numPr>
          <w:ilvl w:val="0"/>
          <w:numId w:val="15"/>
        </w:numPr>
        <w:rPr>
          <w:rFonts w:ascii="Arial" w:hAnsi="Arial" w:cs="Arial"/>
          <w:sz w:val="24"/>
          <w:szCs w:val="24"/>
        </w:rPr>
      </w:pPr>
      <w:r w:rsidRPr="00451D08">
        <w:rPr>
          <w:rFonts w:ascii="Arial" w:hAnsi="Arial" w:cs="Arial"/>
          <w:sz w:val="24"/>
          <w:szCs w:val="24"/>
        </w:rPr>
        <w:t>RCM-related ITC</w:t>
      </w:r>
    </w:p>
    <w:p w14:paraId="5BB949EC" w14:textId="77777777" w:rsidR="00451D08" w:rsidRPr="00451D08" w:rsidRDefault="00451D08" w:rsidP="00451D08">
      <w:pPr>
        <w:rPr>
          <w:rFonts w:ascii="Arial" w:hAnsi="Arial" w:cs="Arial"/>
          <w:sz w:val="24"/>
          <w:szCs w:val="24"/>
        </w:rPr>
      </w:pPr>
      <w:r w:rsidRPr="00451D08">
        <w:rPr>
          <w:rFonts w:ascii="Arial" w:hAnsi="Arial" w:cs="Arial"/>
          <w:sz w:val="24"/>
          <w:szCs w:val="24"/>
        </w:rPr>
        <w:t>to branches through ISD mechanism.</w:t>
      </w:r>
    </w:p>
    <w:p w14:paraId="6E55D3E0" w14:textId="4FB567FB" w:rsidR="00451D08" w:rsidRPr="00451D08" w:rsidRDefault="00451D08" w:rsidP="00451D08">
      <w:pPr>
        <w:rPr>
          <w:rFonts w:ascii="Arial" w:hAnsi="Arial" w:cs="Arial"/>
          <w:sz w:val="24"/>
          <w:szCs w:val="24"/>
        </w:rPr>
      </w:pPr>
      <w:r w:rsidRPr="00451D08">
        <w:rPr>
          <w:rFonts w:ascii="Arial" w:hAnsi="Arial" w:cs="Arial"/>
          <w:sz w:val="24"/>
          <w:szCs w:val="24"/>
        </w:rPr>
        <w:t xml:space="preserve">This removes previous ambiguities in credit distribution. </w:t>
      </w:r>
    </w:p>
    <w:p w14:paraId="6DAE1CDA" w14:textId="77777777" w:rsidR="00451D08" w:rsidRPr="00451D08" w:rsidRDefault="00451D08" w:rsidP="00451D08">
      <w:pPr>
        <w:rPr>
          <w:rFonts w:ascii="Arial" w:hAnsi="Arial" w:cs="Arial"/>
          <w:sz w:val="24"/>
          <w:szCs w:val="24"/>
        </w:rPr>
      </w:pPr>
      <w:r w:rsidRPr="00451D08">
        <w:rPr>
          <w:rFonts w:ascii="Arial" w:hAnsi="Arial" w:cs="Arial"/>
          <w:sz w:val="24"/>
          <w:szCs w:val="24"/>
        </w:rPr>
        <w:pict w14:anchorId="138A59E0">
          <v:rect id="_x0000_i1091" style="width:0;height:1.5pt" o:hralign="center" o:hrstd="t" o:hr="t" fillcolor="#a0a0a0" stroked="f"/>
        </w:pict>
      </w:r>
    </w:p>
    <w:p w14:paraId="4B95C75D" w14:textId="77777777" w:rsidR="00451D08" w:rsidRPr="00451D08" w:rsidRDefault="00451D08" w:rsidP="00451D08">
      <w:pPr>
        <w:rPr>
          <w:rFonts w:ascii="Arial" w:hAnsi="Arial" w:cs="Arial"/>
          <w:b/>
          <w:bCs/>
          <w:sz w:val="24"/>
          <w:szCs w:val="24"/>
        </w:rPr>
      </w:pPr>
      <w:r w:rsidRPr="00451D08">
        <w:rPr>
          <w:rFonts w:ascii="Arial" w:hAnsi="Arial" w:cs="Arial"/>
          <w:b/>
          <w:bCs/>
          <w:sz w:val="24"/>
          <w:szCs w:val="24"/>
        </w:rPr>
        <w:t>7. New ITC Utilisation Sequence</w:t>
      </w:r>
    </w:p>
    <w:p w14:paraId="4C0E117A" w14:textId="77777777" w:rsidR="00451D08" w:rsidRPr="00451D08" w:rsidRDefault="00451D08" w:rsidP="00451D08">
      <w:pPr>
        <w:rPr>
          <w:rFonts w:ascii="Arial" w:hAnsi="Arial" w:cs="Arial"/>
          <w:b/>
          <w:bCs/>
          <w:sz w:val="24"/>
          <w:szCs w:val="24"/>
        </w:rPr>
      </w:pPr>
      <w:r w:rsidRPr="00451D08">
        <w:rPr>
          <w:rFonts w:ascii="Arial" w:hAnsi="Arial" w:cs="Arial"/>
          <w:b/>
          <w:bCs/>
          <w:sz w:val="24"/>
          <w:szCs w:val="24"/>
        </w:rPr>
        <w:t>Relevant Provisions</w:t>
      </w:r>
    </w:p>
    <w:p w14:paraId="52C1553A" w14:textId="77777777" w:rsidR="00451D08" w:rsidRPr="00451D08" w:rsidRDefault="00451D08" w:rsidP="00451D08">
      <w:pPr>
        <w:numPr>
          <w:ilvl w:val="0"/>
          <w:numId w:val="16"/>
        </w:numPr>
        <w:rPr>
          <w:rFonts w:ascii="Arial" w:hAnsi="Arial" w:cs="Arial"/>
          <w:sz w:val="24"/>
          <w:szCs w:val="24"/>
        </w:rPr>
      </w:pPr>
      <w:r w:rsidRPr="00451D08">
        <w:rPr>
          <w:rFonts w:ascii="Arial" w:hAnsi="Arial" w:cs="Arial"/>
          <w:sz w:val="24"/>
          <w:szCs w:val="24"/>
        </w:rPr>
        <w:t>Section 49</w:t>
      </w:r>
    </w:p>
    <w:p w14:paraId="5DEF7F17" w14:textId="77777777" w:rsidR="00451D08" w:rsidRPr="00451D08" w:rsidRDefault="00451D08" w:rsidP="00451D08">
      <w:pPr>
        <w:numPr>
          <w:ilvl w:val="0"/>
          <w:numId w:val="16"/>
        </w:numPr>
        <w:rPr>
          <w:rFonts w:ascii="Arial" w:hAnsi="Arial" w:cs="Arial"/>
          <w:sz w:val="24"/>
          <w:szCs w:val="24"/>
        </w:rPr>
      </w:pPr>
      <w:r w:rsidRPr="00451D08">
        <w:rPr>
          <w:rFonts w:ascii="Arial" w:hAnsi="Arial" w:cs="Arial"/>
          <w:sz w:val="24"/>
          <w:szCs w:val="24"/>
        </w:rPr>
        <w:t>Section 49A</w:t>
      </w:r>
    </w:p>
    <w:p w14:paraId="47EB7A35" w14:textId="77777777" w:rsidR="00451D08" w:rsidRPr="00451D08" w:rsidRDefault="00451D08" w:rsidP="00451D08">
      <w:pPr>
        <w:numPr>
          <w:ilvl w:val="0"/>
          <w:numId w:val="16"/>
        </w:numPr>
        <w:rPr>
          <w:rFonts w:ascii="Arial" w:hAnsi="Arial" w:cs="Arial"/>
          <w:sz w:val="24"/>
          <w:szCs w:val="24"/>
        </w:rPr>
      </w:pPr>
      <w:r w:rsidRPr="00451D08">
        <w:rPr>
          <w:rFonts w:ascii="Arial" w:hAnsi="Arial" w:cs="Arial"/>
          <w:sz w:val="24"/>
          <w:szCs w:val="24"/>
        </w:rPr>
        <w:t>Rule 88A</w:t>
      </w:r>
    </w:p>
    <w:p w14:paraId="2FBC2FD4" w14:textId="77777777" w:rsidR="00451D08" w:rsidRPr="00451D08" w:rsidRDefault="00451D08" w:rsidP="00451D08">
      <w:pPr>
        <w:rPr>
          <w:rFonts w:ascii="Arial" w:hAnsi="Arial" w:cs="Arial"/>
          <w:sz w:val="24"/>
          <w:szCs w:val="24"/>
        </w:rPr>
      </w:pPr>
      <w:r w:rsidRPr="00451D08">
        <w:rPr>
          <w:rFonts w:ascii="Arial" w:hAnsi="Arial" w:cs="Arial"/>
          <w:sz w:val="24"/>
          <w:szCs w:val="24"/>
        </w:rPr>
        <w:t>The basic principle remains:</w:t>
      </w:r>
    </w:p>
    <w:p w14:paraId="6183930F" w14:textId="77777777" w:rsidR="00451D08" w:rsidRPr="00451D08" w:rsidRDefault="00451D08" w:rsidP="00451D08">
      <w:pPr>
        <w:numPr>
          <w:ilvl w:val="0"/>
          <w:numId w:val="17"/>
        </w:numPr>
        <w:rPr>
          <w:rFonts w:ascii="Arial" w:hAnsi="Arial" w:cs="Arial"/>
          <w:sz w:val="24"/>
          <w:szCs w:val="24"/>
        </w:rPr>
      </w:pPr>
      <w:r w:rsidRPr="00451D08">
        <w:rPr>
          <w:rFonts w:ascii="Arial" w:hAnsi="Arial" w:cs="Arial"/>
          <w:sz w:val="24"/>
          <w:szCs w:val="24"/>
        </w:rPr>
        <w:t>IGST Credit → IGST Liability</w:t>
      </w:r>
    </w:p>
    <w:p w14:paraId="0FAD8563" w14:textId="77777777" w:rsidR="00451D08" w:rsidRPr="00451D08" w:rsidRDefault="00451D08" w:rsidP="00451D08">
      <w:pPr>
        <w:numPr>
          <w:ilvl w:val="0"/>
          <w:numId w:val="17"/>
        </w:numPr>
        <w:rPr>
          <w:rFonts w:ascii="Arial" w:hAnsi="Arial" w:cs="Arial"/>
          <w:sz w:val="24"/>
          <w:szCs w:val="24"/>
        </w:rPr>
      </w:pPr>
      <w:r w:rsidRPr="00451D08">
        <w:rPr>
          <w:rFonts w:ascii="Arial" w:hAnsi="Arial" w:cs="Arial"/>
          <w:sz w:val="24"/>
          <w:szCs w:val="24"/>
        </w:rPr>
        <w:t>Remaining IGST Credit → CGST/SGST</w:t>
      </w:r>
    </w:p>
    <w:p w14:paraId="0EE2DFC4" w14:textId="77777777" w:rsidR="00451D08" w:rsidRPr="00451D08" w:rsidRDefault="00451D08" w:rsidP="00451D08">
      <w:pPr>
        <w:numPr>
          <w:ilvl w:val="0"/>
          <w:numId w:val="17"/>
        </w:numPr>
        <w:rPr>
          <w:rFonts w:ascii="Arial" w:hAnsi="Arial" w:cs="Arial"/>
          <w:sz w:val="24"/>
          <w:szCs w:val="24"/>
        </w:rPr>
      </w:pPr>
      <w:r w:rsidRPr="00451D08">
        <w:rPr>
          <w:rFonts w:ascii="Arial" w:hAnsi="Arial" w:cs="Arial"/>
          <w:sz w:val="24"/>
          <w:szCs w:val="24"/>
        </w:rPr>
        <w:t>CGST Credit → CGST then IGST</w:t>
      </w:r>
    </w:p>
    <w:p w14:paraId="30AF098B" w14:textId="77777777" w:rsidR="00451D08" w:rsidRPr="00451D08" w:rsidRDefault="00451D08" w:rsidP="00451D08">
      <w:pPr>
        <w:numPr>
          <w:ilvl w:val="0"/>
          <w:numId w:val="17"/>
        </w:numPr>
        <w:rPr>
          <w:rFonts w:ascii="Arial" w:hAnsi="Arial" w:cs="Arial"/>
          <w:sz w:val="24"/>
          <w:szCs w:val="24"/>
        </w:rPr>
      </w:pPr>
      <w:r w:rsidRPr="00451D08">
        <w:rPr>
          <w:rFonts w:ascii="Arial" w:hAnsi="Arial" w:cs="Arial"/>
          <w:sz w:val="24"/>
          <w:szCs w:val="24"/>
        </w:rPr>
        <w:t>SGST Credit → SGST then IGST</w:t>
      </w:r>
    </w:p>
    <w:p w14:paraId="460DDAD5" w14:textId="27020550" w:rsidR="00451D08" w:rsidRPr="00451D08" w:rsidRDefault="00451D08" w:rsidP="00451D08">
      <w:pPr>
        <w:rPr>
          <w:rFonts w:ascii="Arial" w:hAnsi="Arial" w:cs="Arial"/>
          <w:sz w:val="24"/>
          <w:szCs w:val="24"/>
        </w:rPr>
      </w:pPr>
      <w:r w:rsidRPr="00451D08">
        <w:rPr>
          <w:rFonts w:ascii="Arial" w:hAnsi="Arial" w:cs="Arial"/>
          <w:sz w:val="24"/>
          <w:szCs w:val="24"/>
        </w:rPr>
        <w:t>Recent GSTN changes have provided greater flexibility in utilizing surplus CGST and SGST credits against IGST liability after mandatory adjustments.</w:t>
      </w:r>
    </w:p>
    <w:p w14:paraId="1C910635" w14:textId="77777777" w:rsidR="00451D08" w:rsidRPr="00451D08" w:rsidRDefault="00451D08" w:rsidP="00451D08">
      <w:pPr>
        <w:rPr>
          <w:rFonts w:ascii="Arial" w:hAnsi="Arial" w:cs="Arial"/>
          <w:sz w:val="24"/>
          <w:szCs w:val="24"/>
        </w:rPr>
      </w:pPr>
      <w:r w:rsidRPr="00451D08">
        <w:rPr>
          <w:rFonts w:ascii="Arial" w:hAnsi="Arial" w:cs="Arial"/>
          <w:sz w:val="24"/>
          <w:szCs w:val="24"/>
        </w:rPr>
        <w:pict w14:anchorId="3DA6A949">
          <v:rect id="_x0000_i1092" style="width:0;height:1.5pt" o:hralign="center" o:hrstd="t" o:hr="t" fillcolor="#a0a0a0" stroked="f"/>
        </w:pict>
      </w:r>
    </w:p>
    <w:p w14:paraId="02A7D728" w14:textId="77777777" w:rsidR="00451D08" w:rsidRPr="00451D08" w:rsidRDefault="00451D08" w:rsidP="00451D08">
      <w:pPr>
        <w:rPr>
          <w:rFonts w:ascii="Arial" w:hAnsi="Arial" w:cs="Arial"/>
          <w:b/>
          <w:bCs/>
          <w:sz w:val="24"/>
          <w:szCs w:val="24"/>
        </w:rPr>
      </w:pPr>
      <w:r w:rsidRPr="00451D08">
        <w:rPr>
          <w:rFonts w:ascii="Arial" w:hAnsi="Arial" w:cs="Arial"/>
          <w:b/>
          <w:bCs/>
          <w:sz w:val="24"/>
          <w:szCs w:val="24"/>
        </w:rPr>
        <w:t>8. ITC and Post-Supply Discounts</w:t>
      </w:r>
    </w:p>
    <w:p w14:paraId="7BF5B9F9" w14:textId="77777777" w:rsidR="00451D08" w:rsidRPr="00451D08" w:rsidRDefault="00451D08" w:rsidP="00451D08">
      <w:pPr>
        <w:rPr>
          <w:rFonts w:ascii="Arial" w:hAnsi="Arial" w:cs="Arial"/>
          <w:b/>
          <w:bCs/>
          <w:sz w:val="24"/>
          <w:szCs w:val="24"/>
        </w:rPr>
      </w:pPr>
      <w:r w:rsidRPr="00451D08">
        <w:rPr>
          <w:rFonts w:ascii="Arial" w:hAnsi="Arial" w:cs="Arial"/>
          <w:b/>
          <w:bCs/>
          <w:sz w:val="24"/>
          <w:szCs w:val="24"/>
        </w:rPr>
        <w:t>Budget 2026 Proposal</w:t>
      </w:r>
    </w:p>
    <w:p w14:paraId="1CEC7841" w14:textId="77777777" w:rsidR="00451D08" w:rsidRPr="00451D08" w:rsidRDefault="00451D08" w:rsidP="00451D08">
      <w:pPr>
        <w:rPr>
          <w:rFonts w:ascii="Arial" w:hAnsi="Arial" w:cs="Arial"/>
          <w:sz w:val="24"/>
          <w:szCs w:val="24"/>
        </w:rPr>
      </w:pPr>
      <w:r w:rsidRPr="00451D08">
        <w:rPr>
          <w:rFonts w:ascii="Arial" w:hAnsi="Arial" w:cs="Arial"/>
          <w:sz w:val="24"/>
          <w:szCs w:val="24"/>
        </w:rPr>
        <w:t>A significant amendment has been proposed regarding post-supply discounts.</w:t>
      </w:r>
    </w:p>
    <w:p w14:paraId="36CE044B" w14:textId="77777777" w:rsidR="00451D08" w:rsidRPr="00451D08" w:rsidRDefault="00451D08" w:rsidP="00451D08">
      <w:pPr>
        <w:rPr>
          <w:rFonts w:ascii="Arial" w:hAnsi="Arial" w:cs="Arial"/>
          <w:b/>
          <w:bCs/>
          <w:sz w:val="24"/>
          <w:szCs w:val="24"/>
        </w:rPr>
      </w:pPr>
      <w:r w:rsidRPr="00451D08">
        <w:rPr>
          <w:rFonts w:ascii="Arial" w:hAnsi="Arial" w:cs="Arial"/>
          <w:b/>
          <w:bCs/>
          <w:sz w:val="24"/>
          <w:szCs w:val="24"/>
        </w:rPr>
        <w:t>Existing Position</w:t>
      </w:r>
    </w:p>
    <w:p w14:paraId="1887914F" w14:textId="77777777" w:rsidR="00451D08" w:rsidRPr="00451D08" w:rsidRDefault="00451D08" w:rsidP="00451D08">
      <w:pPr>
        <w:rPr>
          <w:rFonts w:ascii="Arial" w:hAnsi="Arial" w:cs="Arial"/>
          <w:sz w:val="24"/>
          <w:szCs w:val="24"/>
        </w:rPr>
      </w:pPr>
      <w:r w:rsidRPr="00451D08">
        <w:rPr>
          <w:rFonts w:ascii="Arial" w:hAnsi="Arial" w:cs="Arial"/>
          <w:sz w:val="24"/>
          <w:szCs w:val="24"/>
        </w:rPr>
        <w:t>Section 15(3) permitted deduction only when:</w:t>
      </w:r>
    </w:p>
    <w:p w14:paraId="23DE31EF" w14:textId="77777777" w:rsidR="00451D08" w:rsidRPr="00451D08" w:rsidRDefault="00451D08" w:rsidP="00451D08">
      <w:pPr>
        <w:numPr>
          <w:ilvl w:val="0"/>
          <w:numId w:val="18"/>
        </w:numPr>
        <w:rPr>
          <w:rFonts w:ascii="Arial" w:hAnsi="Arial" w:cs="Arial"/>
          <w:sz w:val="24"/>
          <w:szCs w:val="24"/>
        </w:rPr>
      </w:pPr>
      <w:r w:rsidRPr="00451D08">
        <w:rPr>
          <w:rFonts w:ascii="Arial" w:hAnsi="Arial" w:cs="Arial"/>
          <w:sz w:val="24"/>
          <w:szCs w:val="24"/>
        </w:rPr>
        <w:t>Agreement existed before supply.</w:t>
      </w:r>
    </w:p>
    <w:p w14:paraId="1E2E5413" w14:textId="77777777" w:rsidR="00451D08" w:rsidRPr="00451D08" w:rsidRDefault="00451D08" w:rsidP="00451D08">
      <w:pPr>
        <w:rPr>
          <w:rFonts w:ascii="Arial" w:hAnsi="Arial" w:cs="Arial"/>
          <w:b/>
          <w:bCs/>
          <w:sz w:val="24"/>
          <w:szCs w:val="24"/>
        </w:rPr>
      </w:pPr>
      <w:r w:rsidRPr="00451D08">
        <w:rPr>
          <w:rFonts w:ascii="Arial" w:hAnsi="Arial" w:cs="Arial"/>
          <w:b/>
          <w:bCs/>
          <w:sz w:val="24"/>
          <w:szCs w:val="24"/>
        </w:rPr>
        <w:t>Proposed Relaxation</w:t>
      </w:r>
    </w:p>
    <w:p w14:paraId="725C23DB" w14:textId="77777777" w:rsidR="00451D08" w:rsidRPr="00451D08" w:rsidRDefault="00451D08" w:rsidP="00451D08">
      <w:pPr>
        <w:rPr>
          <w:rFonts w:ascii="Arial" w:hAnsi="Arial" w:cs="Arial"/>
          <w:sz w:val="24"/>
          <w:szCs w:val="24"/>
        </w:rPr>
      </w:pPr>
      <w:r w:rsidRPr="00451D08">
        <w:rPr>
          <w:rFonts w:ascii="Arial" w:hAnsi="Arial" w:cs="Arial"/>
          <w:sz w:val="24"/>
          <w:szCs w:val="24"/>
        </w:rPr>
        <w:t>Discount may be permitted even without prior agreement, subject to:</w:t>
      </w:r>
    </w:p>
    <w:p w14:paraId="53D88949" w14:textId="77777777" w:rsidR="00451D08" w:rsidRPr="00451D08" w:rsidRDefault="00451D08" w:rsidP="00451D08">
      <w:pPr>
        <w:numPr>
          <w:ilvl w:val="0"/>
          <w:numId w:val="19"/>
        </w:numPr>
        <w:rPr>
          <w:rFonts w:ascii="Arial" w:hAnsi="Arial" w:cs="Arial"/>
          <w:sz w:val="24"/>
          <w:szCs w:val="24"/>
        </w:rPr>
      </w:pPr>
      <w:r w:rsidRPr="00451D08">
        <w:rPr>
          <w:rFonts w:ascii="Arial" w:hAnsi="Arial" w:cs="Arial"/>
          <w:sz w:val="24"/>
          <w:szCs w:val="24"/>
        </w:rPr>
        <w:t>Prescribed conditions.</w:t>
      </w:r>
    </w:p>
    <w:p w14:paraId="351791C2" w14:textId="77777777" w:rsidR="00451D08" w:rsidRPr="00451D08" w:rsidRDefault="00451D08" w:rsidP="00451D08">
      <w:pPr>
        <w:numPr>
          <w:ilvl w:val="0"/>
          <w:numId w:val="19"/>
        </w:numPr>
        <w:rPr>
          <w:rFonts w:ascii="Arial" w:hAnsi="Arial" w:cs="Arial"/>
          <w:sz w:val="24"/>
          <w:szCs w:val="24"/>
        </w:rPr>
      </w:pPr>
      <w:r w:rsidRPr="00451D08">
        <w:rPr>
          <w:rFonts w:ascii="Arial" w:hAnsi="Arial" w:cs="Arial"/>
          <w:sz w:val="24"/>
          <w:szCs w:val="24"/>
        </w:rPr>
        <w:t>Corresponding ITC reversal by recipient.</w:t>
      </w:r>
    </w:p>
    <w:p w14:paraId="643F89F4" w14:textId="708BD5E0" w:rsidR="00451D08" w:rsidRPr="00451D08" w:rsidRDefault="00451D08" w:rsidP="00451D08">
      <w:pPr>
        <w:rPr>
          <w:rFonts w:ascii="Arial" w:hAnsi="Arial" w:cs="Arial"/>
          <w:sz w:val="24"/>
          <w:szCs w:val="24"/>
        </w:rPr>
      </w:pPr>
      <w:r w:rsidRPr="00451D08">
        <w:rPr>
          <w:rFonts w:ascii="Arial" w:hAnsi="Arial" w:cs="Arial"/>
          <w:sz w:val="24"/>
          <w:szCs w:val="24"/>
        </w:rPr>
        <w:t xml:space="preserve">This is expected to provide commercial flexibility in trade practices. </w:t>
      </w:r>
    </w:p>
    <w:p w14:paraId="749C449B" w14:textId="77777777" w:rsidR="00451D08" w:rsidRPr="00451D08" w:rsidRDefault="00451D08" w:rsidP="00451D08">
      <w:pPr>
        <w:rPr>
          <w:rFonts w:ascii="Arial" w:hAnsi="Arial" w:cs="Arial"/>
          <w:sz w:val="24"/>
          <w:szCs w:val="24"/>
        </w:rPr>
      </w:pPr>
      <w:r w:rsidRPr="00451D08">
        <w:rPr>
          <w:rFonts w:ascii="Arial" w:hAnsi="Arial" w:cs="Arial"/>
          <w:sz w:val="24"/>
          <w:szCs w:val="24"/>
        </w:rPr>
        <w:pict w14:anchorId="3DB9373A">
          <v:rect id="_x0000_i1093" style="width:0;height:1.5pt" o:hralign="center" o:hrstd="t" o:hr="t" fillcolor="#a0a0a0" stroked="f"/>
        </w:pict>
      </w:r>
    </w:p>
    <w:p w14:paraId="2A00EEE3" w14:textId="77777777" w:rsidR="00451D08" w:rsidRPr="00451D08" w:rsidRDefault="00451D08" w:rsidP="00451D08">
      <w:pPr>
        <w:rPr>
          <w:rFonts w:ascii="Arial" w:hAnsi="Arial" w:cs="Arial"/>
          <w:b/>
          <w:bCs/>
          <w:sz w:val="24"/>
          <w:szCs w:val="24"/>
        </w:rPr>
      </w:pPr>
      <w:r w:rsidRPr="00451D08">
        <w:rPr>
          <w:rFonts w:ascii="Arial" w:hAnsi="Arial" w:cs="Arial"/>
          <w:b/>
          <w:bCs/>
          <w:sz w:val="24"/>
          <w:szCs w:val="24"/>
        </w:rPr>
        <w:t>9. ITC Time Limit – Continue to Monitor Section 16(4)</w:t>
      </w:r>
    </w:p>
    <w:p w14:paraId="00D9489F" w14:textId="77777777" w:rsidR="00451D08" w:rsidRPr="00451D08" w:rsidRDefault="00451D08" w:rsidP="00451D08">
      <w:pPr>
        <w:rPr>
          <w:rFonts w:ascii="Arial" w:hAnsi="Arial" w:cs="Arial"/>
          <w:b/>
          <w:bCs/>
          <w:sz w:val="24"/>
          <w:szCs w:val="24"/>
        </w:rPr>
      </w:pPr>
      <w:r w:rsidRPr="00451D08">
        <w:rPr>
          <w:rFonts w:ascii="Arial" w:hAnsi="Arial" w:cs="Arial"/>
          <w:b/>
          <w:bCs/>
          <w:sz w:val="24"/>
          <w:szCs w:val="24"/>
        </w:rPr>
        <w:t>Relevant Provision</w:t>
      </w:r>
    </w:p>
    <w:p w14:paraId="2AC39A2F" w14:textId="77777777" w:rsidR="00451D08" w:rsidRPr="00451D08" w:rsidRDefault="00451D08" w:rsidP="00451D08">
      <w:pPr>
        <w:rPr>
          <w:rFonts w:ascii="Arial" w:hAnsi="Arial" w:cs="Arial"/>
          <w:sz w:val="24"/>
          <w:szCs w:val="24"/>
        </w:rPr>
      </w:pPr>
      <w:r w:rsidRPr="00451D08">
        <w:rPr>
          <w:rFonts w:ascii="Arial" w:hAnsi="Arial" w:cs="Arial"/>
          <w:sz w:val="24"/>
          <w:szCs w:val="24"/>
        </w:rPr>
        <w:t>Section 16(4) of CGST Act</w:t>
      </w:r>
    </w:p>
    <w:p w14:paraId="2CFECD2D" w14:textId="77777777" w:rsidR="00451D08" w:rsidRPr="00451D08" w:rsidRDefault="00451D08" w:rsidP="00451D08">
      <w:pPr>
        <w:rPr>
          <w:rFonts w:ascii="Arial" w:hAnsi="Arial" w:cs="Arial"/>
          <w:sz w:val="24"/>
          <w:szCs w:val="24"/>
        </w:rPr>
      </w:pPr>
      <w:r w:rsidRPr="00451D08">
        <w:rPr>
          <w:rFonts w:ascii="Arial" w:hAnsi="Arial" w:cs="Arial"/>
          <w:sz w:val="24"/>
          <w:szCs w:val="24"/>
        </w:rPr>
        <w:t>ITC relating to an invoice can be claimed up to:</w:t>
      </w:r>
    </w:p>
    <w:p w14:paraId="4611FCFE" w14:textId="77777777" w:rsidR="00451D08" w:rsidRPr="00451D08" w:rsidRDefault="00451D08" w:rsidP="00451D08">
      <w:pPr>
        <w:numPr>
          <w:ilvl w:val="0"/>
          <w:numId w:val="20"/>
        </w:numPr>
        <w:rPr>
          <w:rFonts w:ascii="Arial" w:hAnsi="Arial" w:cs="Arial"/>
          <w:sz w:val="24"/>
          <w:szCs w:val="24"/>
        </w:rPr>
      </w:pPr>
      <w:r w:rsidRPr="00451D08">
        <w:rPr>
          <w:rFonts w:ascii="Arial" w:hAnsi="Arial" w:cs="Arial"/>
          <w:sz w:val="24"/>
          <w:szCs w:val="24"/>
        </w:rPr>
        <w:t>30th November following the end of the financial year, or</w:t>
      </w:r>
    </w:p>
    <w:p w14:paraId="3B2382F7" w14:textId="77777777" w:rsidR="00451D08" w:rsidRPr="00451D08" w:rsidRDefault="00451D08" w:rsidP="00451D08">
      <w:pPr>
        <w:numPr>
          <w:ilvl w:val="0"/>
          <w:numId w:val="20"/>
        </w:numPr>
        <w:rPr>
          <w:rFonts w:ascii="Arial" w:hAnsi="Arial" w:cs="Arial"/>
          <w:sz w:val="24"/>
          <w:szCs w:val="24"/>
        </w:rPr>
      </w:pPr>
      <w:r w:rsidRPr="00451D08">
        <w:rPr>
          <w:rFonts w:ascii="Arial" w:hAnsi="Arial" w:cs="Arial"/>
          <w:sz w:val="24"/>
          <w:szCs w:val="24"/>
        </w:rPr>
        <w:t>Date of filing Annual Return,</w:t>
      </w:r>
    </w:p>
    <w:p w14:paraId="5C640210" w14:textId="77777777" w:rsidR="00451D08" w:rsidRPr="00451D08" w:rsidRDefault="00451D08" w:rsidP="00451D08">
      <w:pPr>
        <w:rPr>
          <w:rFonts w:ascii="Arial" w:hAnsi="Arial" w:cs="Arial"/>
          <w:sz w:val="24"/>
          <w:szCs w:val="24"/>
        </w:rPr>
      </w:pPr>
      <w:r w:rsidRPr="00451D08">
        <w:rPr>
          <w:rFonts w:ascii="Arial" w:hAnsi="Arial" w:cs="Arial"/>
          <w:sz w:val="24"/>
          <w:szCs w:val="24"/>
        </w:rPr>
        <w:t>whichever is earlier.</w:t>
      </w:r>
    </w:p>
    <w:p w14:paraId="03B012D5" w14:textId="77777777" w:rsidR="00451D08" w:rsidRPr="00451D08" w:rsidRDefault="00451D08" w:rsidP="00451D08">
      <w:pPr>
        <w:rPr>
          <w:rFonts w:ascii="Arial" w:hAnsi="Arial" w:cs="Arial"/>
          <w:b/>
          <w:bCs/>
          <w:sz w:val="24"/>
          <w:szCs w:val="24"/>
        </w:rPr>
      </w:pPr>
      <w:r w:rsidRPr="00451D08">
        <w:rPr>
          <w:rFonts w:ascii="Arial" w:hAnsi="Arial" w:cs="Arial"/>
          <w:b/>
          <w:bCs/>
          <w:sz w:val="24"/>
          <w:szCs w:val="24"/>
        </w:rPr>
        <w:t>Example</w:t>
      </w:r>
    </w:p>
    <w:p w14:paraId="14CF21E4" w14:textId="77777777" w:rsidR="00451D08" w:rsidRPr="00451D08" w:rsidRDefault="00451D08" w:rsidP="00451D08">
      <w:pPr>
        <w:rPr>
          <w:rFonts w:ascii="Arial" w:hAnsi="Arial" w:cs="Arial"/>
          <w:sz w:val="24"/>
          <w:szCs w:val="24"/>
        </w:rPr>
      </w:pPr>
      <w:r w:rsidRPr="00451D08">
        <w:rPr>
          <w:rFonts w:ascii="Arial" w:hAnsi="Arial" w:cs="Arial"/>
          <w:sz w:val="24"/>
          <w:szCs w:val="24"/>
        </w:rPr>
        <w:t>Invoice Date:</w:t>
      </w:r>
      <w:r w:rsidRPr="00451D08">
        <w:rPr>
          <w:rFonts w:ascii="Arial" w:hAnsi="Arial" w:cs="Arial"/>
          <w:sz w:val="24"/>
          <w:szCs w:val="24"/>
        </w:rPr>
        <w:br/>
        <w:t>15 June 2025</w:t>
      </w:r>
    </w:p>
    <w:p w14:paraId="6953D741" w14:textId="77777777" w:rsidR="00451D08" w:rsidRPr="00451D08" w:rsidRDefault="00451D08" w:rsidP="00451D08">
      <w:pPr>
        <w:rPr>
          <w:rFonts w:ascii="Arial" w:hAnsi="Arial" w:cs="Arial"/>
          <w:sz w:val="24"/>
          <w:szCs w:val="24"/>
        </w:rPr>
      </w:pPr>
      <w:r w:rsidRPr="00451D08">
        <w:rPr>
          <w:rFonts w:ascii="Arial" w:hAnsi="Arial" w:cs="Arial"/>
          <w:sz w:val="24"/>
          <w:szCs w:val="24"/>
        </w:rPr>
        <w:t>Last date for ITC claim:</w:t>
      </w:r>
      <w:r w:rsidRPr="00451D08">
        <w:rPr>
          <w:rFonts w:ascii="Arial" w:hAnsi="Arial" w:cs="Arial"/>
          <w:sz w:val="24"/>
          <w:szCs w:val="24"/>
        </w:rPr>
        <w:br/>
        <w:t>30 November 2026</w:t>
      </w:r>
    </w:p>
    <w:p w14:paraId="5075D7FE" w14:textId="3663E8E5" w:rsidR="00451D08" w:rsidRPr="00451D08" w:rsidRDefault="00451D08" w:rsidP="00451D08">
      <w:pPr>
        <w:rPr>
          <w:rFonts w:ascii="Arial" w:hAnsi="Arial" w:cs="Arial"/>
          <w:sz w:val="24"/>
          <w:szCs w:val="24"/>
        </w:rPr>
      </w:pPr>
      <w:r w:rsidRPr="00451D08">
        <w:rPr>
          <w:rFonts w:ascii="Arial" w:hAnsi="Arial" w:cs="Arial"/>
          <w:sz w:val="24"/>
          <w:szCs w:val="24"/>
        </w:rPr>
        <w:t xml:space="preserve">Therefore, businesses should conduct periodic ITC reviews to avoid lapse of eligible credits. </w:t>
      </w:r>
    </w:p>
    <w:p w14:paraId="53EBFD05" w14:textId="77777777" w:rsidR="00451D08" w:rsidRPr="00451D08" w:rsidRDefault="00451D08" w:rsidP="00451D08">
      <w:pPr>
        <w:rPr>
          <w:rFonts w:ascii="Arial" w:hAnsi="Arial" w:cs="Arial"/>
          <w:sz w:val="24"/>
          <w:szCs w:val="24"/>
        </w:rPr>
      </w:pPr>
      <w:r w:rsidRPr="00451D08">
        <w:rPr>
          <w:rFonts w:ascii="Arial" w:hAnsi="Arial" w:cs="Arial"/>
          <w:sz w:val="24"/>
          <w:szCs w:val="24"/>
        </w:rPr>
        <w:pict w14:anchorId="05888085">
          <v:rect id="_x0000_i1094" style="width:0;height:1.5pt" o:hralign="center" o:hrstd="t" o:hr="t" fillcolor="#a0a0a0" stroked="f"/>
        </w:pict>
      </w:r>
    </w:p>
    <w:p w14:paraId="1F56892D" w14:textId="77777777" w:rsidR="00451D08" w:rsidRPr="00451D08" w:rsidRDefault="00451D08" w:rsidP="00451D08">
      <w:pPr>
        <w:rPr>
          <w:rFonts w:ascii="Arial" w:hAnsi="Arial" w:cs="Arial"/>
          <w:b/>
          <w:bCs/>
          <w:sz w:val="24"/>
          <w:szCs w:val="24"/>
        </w:rPr>
      </w:pPr>
      <w:r w:rsidRPr="00451D08">
        <w:rPr>
          <w:rFonts w:ascii="Arial" w:hAnsi="Arial" w:cs="Arial"/>
          <w:b/>
          <w:bCs/>
          <w:sz w:val="24"/>
          <w:szCs w:val="24"/>
        </w:rPr>
        <w:t>Key Takeaways for Businesses</w:t>
      </w:r>
    </w:p>
    <w:p w14:paraId="55D94D73" w14:textId="77777777" w:rsidR="00451D08" w:rsidRPr="00451D08" w:rsidRDefault="00451D08" w:rsidP="00451D08">
      <w:pPr>
        <w:numPr>
          <w:ilvl w:val="0"/>
          <w:numId w:val="21"/>
        </w:numPr>
        <w:rPr>
          <w:rFonts w:ascii="Arial" w:hAnsi="Arial" w:cs="Arial"/>
          <w:sz w:val="24"/>
          <w:szCs w:val="24"/>
        </w:rPr>
      </w:pPr>
      <w:r w:rsidRPr="00451D08">
        <w:rPr>
          <w:rFonts w:ascii="Arial" w:hAnsi="Arial" w:cs="Arial"/>
          <w:sz w:val="24"/>
          <w:szCs w:val="24"/>
        </w:rPr>
        <w:t>Monthly GSTR-2B reconciliation is essential.</w:t>
      </w:r>
    </w:p>
    <w:p w14:paraId="0C7D2745" w14:textId="77777777" w:rsidR="00451D08" w:rsidRPr="00451D08" w:rsidRDefault="00451D08" w:rsidP="00451D08">
      <w:pPr>
        <w:numPr>
          <w:ilvl w:val="0"/>
          <w:numId w:val="21"/>
        </w:numPr>
        <w:rPr>
          <w:rFonts w:ascii="Arial" w:hAnsi="Arial" w:cs="Arial"/>
          <w:sz w:val="24"/>
          <w:szCs w:val="24"/>
        </w:rPr>
      </w:pPr>
      <w:r w:rsidRPr="00451D08">
        <w:rPr>
          <w:rFonts w:ascii="Arial" w:hAnsi="Arial" w:cs="Arial"/>
          <w:sz w:val="24"/>
          <w:szCs w:val="24"/>
        </w:rPr>
        <w:t>IMS actions directly affect ITC availability.</w:t>
      </w:r>
    </w:p>
    <w:p w14:paraId="38584A86" w14:textId="77777777" w:rsidR="00451D08" w:rsidRPr="00451D08" w:rsidRDefault="00451D08" w:rsidP="00451D08">
      <w:pPr>
        <w:numPr>
          <w:ilvl w:val="0"/>
          <w:numId w:val="21"/>
        </w:numPr>
        <w:rPr>
          <w:rFonts w:ascii="Arial" w:hAnsi="Arial" w:cs="Arial"/>
          <w:sz w:val="24"/>
          <w:szCs w:val="24"/>
        </w:rPr>
      </w:pPr>
      <w:r w:rsidRPr="00451D08">
        <w:rPr>
          <w:rFonts w:ascii="Arial" w:hAnsi="Arial" w:cs="Arial"/>
          <w:sz w:val="24"/>
          <w:szCs w:val="24"/>
        </w:rPr>
        <w:t>ECRS tracks every ITC reversal and reclaim.</w:t>
      </w:r>
    </w:p>
    <w:p w14:paraId="2E2FC2F5" w14:textId="77777777" w:rsidR="00451D08" w:rsidRPr="00451D08" w:rsidRDefault="00451D08" w:rsidP="00451D08">
      <w:pPr>
        <w:numPr>
          <w:ilvl w:val="0"/>
          <w:numId w:val="21"/>
        </w:numPr>
        <w:rPr>
          <w:rFonts w:ascii="Arial" w:hAnsi="Arial" w:cs="Arial"/>
          <w:sz w:val="24"/>
          <w:szCs w:val="24"/>
        </w:rPr>
      </w:pPr>
      <w:r w:rsidRPr="00451D08">
        <w:rPr>
          <w:rFonts w:ascii="Arial" w:hAnsi="Arial" w:cs="Arial"/>
          <w:sz w:val="24"/>
          <w:szCs w:val="24"/>
        </w:rPr>
        <w:t>Rule 37A requires monitoring supplier compliance.</w:t>
      </w:r>
    </w:p>
    <w:p w14:paraId="79570765" w14:textId="09771527" w:rsidR="00451D08" w:rsidRPr="00451D08" w:rsidRDefault="00451D08" w:rsidP="00451D08">
      <w:pPr>
        <w:numPr>
          <w:ilvl w:val="0"/>
          <w:numId w:val="21"/>
        </w:numPr>
        <w:rPr>
          <w:rFonts w:ascii="Arial" w:hAnsi="Arial" w:cs="Arial"/>
          <w:sz w:val="24"/>
          <w:szCs w:val="24"/>
        </w:rPr>
      </w:pPr>
      <w:r w:rsidRPr="00451D08">
        <w:rPr>
          <w:rFonts w:ascii="Arial" w:hAnsi="Arial" w:cs="Arial"/>
          <w:sz w:val="24"/>
          <w:szCs w:val="24"/>
        </w:rPr>
        <w:t xml:space="preserve">RCM ITC can be claimed only </w:t>
      </w:r>
      <w:r w:rsidRPr="00451D08">
        <w:rPr>
          <w:rFonts w:ascii="Arial" w:hAnsi="Arial" w:cs="Arial"/>
          <w:sz w:val="24"/>
          <w:szCs w:val="24"/>
        </w:rPr>
        <w:t>after-tax</w:t>
      </w:r>
      <w:r w:rsidRPr="00451D08">
        <w:rPr>
          <w:rFonts w:ascii="Arial" w:hAnsi="Arial" w:cs="Arial"/>
          <w:sz w:val="24"/>
          <w:szCs w:val="24"/>
        </w:rPr>
        <w:t xml:space="preserve"> payment.</w:t>
      </w:r>
    </w:p>
    <w:p w14:paraId="1AC39818" w14:textId="77777777" w:rsidR="00451D08" w:rsidRPr="00451D08" w:rsidRDefault="00451D08" w:rsidP="00451D08">
      <w:pPr>
        <w:numPr>
          <w:ilvl w:val="0"/>
          <w:numId w:val="21"/>
        </w:numPr>
        <w:rPr>
          <w:rFonts w:ascii="Arial" w:hAnsi="Arial" w:cs="Arial"/>
          <w:sz w:val="24"/>
          <w:szCs w:val="24"/>
        </w:rPr>
      </w:pPr>
      <w:r w:rsidRPr="00451D08">
        <w:rPr>
          <w:rFonts w:ascii="Arial" w:hAnsi="Arial" w:cs="Arial"/>
          <w:sz w:val="24"/>
          <w:szCs w:val="24"/>
        </w:rPr>
        <w:t>ISD provisions now cover broader categories of credits.</w:t>
      </w:r>
    </w:p>
    <w:p w14:paraId="5CAE817F" w14:textId="77777777" w:rsidR="00451D08" w:rsidRPr="00451D08" w:rsidRDefault="00451D08" w:rsidP="00451D08">
      <w:pPr>
        <w:numPr>
          <w:ilvl w:val="0"/>
          <w:numId w:val="21"/>
        </w:numPr>
        <w:rPr>
          <w:rFonts w:ascii="Arial" w:hAnsi="Arial" w:cs="Arial"/>
          <w:sz w:val="24"/>
          <w:szCs w:val="24"/>
        </w:rPr>
      </w:pPr>
      <w:r w:rsidRPr="00451D08">
        <w:rPr>
          <w:rFonts w:ascii="Arial" w:hAnsi="Arial" w:cs="Arial"/>
          <w:sz w:val="24"/>
          <w:szCs w:val="24"/>
        </w:rPr>
        <w:t>ITC utilisation rules should be reviewed before filing GSTR-3B.</w:t>
      </w:r>
    </w:p>
    <w:p w14:paraId="2DAAC87E" w14:textId="77777777" w:rsidR="00451D08" w:rsidRPr="00451D08" w:rsidRDefault="00451D08" w:rsidP="00451D08">
      <w:pPr>
        <w:numPr>
          <w:ilvl w:val="0"/>
          <w:numId w:val="21"/>
        </w:numPr>
        <w:rPr>
          <w:rFonts w:ascii="Arial" w:hAnsi="Arial" w:cs="Arial"/>
          <w:sz w:val="24"/>
          <w:szCs w:val="24"/>
        </w:rPr>
      </w:pPr>
      <w:r w:rsidRPr="00451D08">
        <w:rPr>
          <w:rFonts w:ascii="Arial" w:hAnsi="Arial" w:cs="Arial"/>
          <w:sz w:val="24"/>
          <w:szCs w:val="24"/>
        </w:rPr>
        <w:t>Section 16(4) deadlines must not be missed.</w:t>
      </w:r>
    </w:p>
    <w:p w14:paraId="0BDA5E12" w14:textId="6F862EEC" w:rsidR="00451D08" w:rsidRPr="00451D08" w:rsidRDefault="00451D08" w:rsidP="00451D08">
      <w:pPr>
        <w:numPr>
          <w:ilvl w:val="0"/>
          <w:numId w:val="21"/>
        </w:numPr>
        <w:rPr>
          <w:rFonts w:ascii="Arial" w:hAnsi="Arial" w:cs="Arial"/>
          <w:sz w:val="24"/>
          <w:szCs w:val="24"/>
        </w:rPr>
      </w:pPr>
      <w:r w:rsidRPr="00451D08">
        <w:rPr>
          <w:rFonts w:ascii="Arial" w:hAnsi="Arial" w:cs="Arial"/>
          <w:sz w:val="24"/>
          <w:szCs w:val="24"/>
        </w:rPr>
        <w:t xml:space="preserve">GST compliance is increasingly technology-driven rather than merely documentation-driven. </w:t>
      </w:r>
    </w:p>
    <w:p w14:paraId="53579947" w14:textId="77777777" w:rsidR="00451D08" w:rsidRPr="00451D08" w:rsidRDefault="00451D08" w:rsidP="00451D08">
      <w:pPr>
        <w:rPr>
          <w:rFonts w:ascii="Arial" w:hAnsi="Arial" w:cs="Arial"/>
          <w:sz w:val="24"/>
          <w:szCs w:val="24"/>
        </w:rPr>
      </w:pPr>
      <w:r w:rsidRPr="00451D08">
        <w:rPr>
          <w:rFonts w:ascii="Arial" w:hAnsi="Arial" w:cs="Arial"/>
          <w:sz w:val="24"/>
          <w:szCs w:val="24"/>
        </w:rPr>
        <w:t>This structure is suitable for publishing as a professional GST blog for CA students, tax practitioners, and business taxpayers, with references to the relevant sections and rules of the CGST Act and CGST Rules.</w:t>
      </w:r>
    </w:p>
    <w:p w14:paraId="1BC37324" w14:textId="77777777" w:rsidR="00BA7972" w:rsidRPr="00451D08" w:rsidRDefault="00BA7972">
      <w:pPr>
        <w:rPr>
          <w:rFonts w:ascii="Arial" w:hAnsi="Arial" w:cs="Arial"/>
          <w:sz w:val="24"/>
          <w:szCs w:val="24"/>
        </w:rPr>
      </w:pPr>
    </w:p>
    <w:sectPr w:rsidR="00BA7972" w:rsidRPr="00451D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706E1"/>
    <w:multiLevelType w:val="multilevel"/>
    <w:tmpl w:val="2A98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D4DD9"/>
    <w:multiLevelType w:val="multilevel"/>
    <w:tmpl w:val="6A94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A62FA"/>
    <w:multiLevelType w:val="multilevel"/>
    <w:tmpl w:val="C22E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734F2"/>
    <w:multiLevelType w:val="multilevel"/>
    <w:tmpl w:val="E04C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5D5B55"/>
    <w:multiLevelType w:val="multilevel"/>
    <w:tmpl w:val="1E00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0F6AE5"/>
    <w:multiLevelType w:val="multilevel"/>
    <w:tmpl w:val="1D52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9D0F3A"/>
    <w:multiLevelType w:val="multilevel"/>
    <w:tmpl w:val="9DA2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EA0AE1"/>
    <w:multiLevelType w:val="multilevel"/>
    <w:tmpl w:val="36DE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7B6BF4"/>
    <w:multiLevelType w:val="multilevel"/>
    <w:tmpl w:val="8B16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76100D"/>
    <w:multiLevelType w:val="multilevel"/>
    <w:tmpl w:val="0AAE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1E41EA"/>
    <w:multiLevelType w:val="multilevel"/>
    <w:tmpl w:val="D648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B60844"/>
    <w:multiLevelType w:val="multilevel"/>
    <w:tmpl w:val="815E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AD481A"/>
    <w:multiLevelType w:val="multilevel"/>
    <w:tmpl w:val="8F8E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0B37EE"/>
    <w:multiLevelType w:val="multilevel"/>
    <w:tmpl w:val="E97E4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D93773"/>
    <w:multiLevelType w:val="multilevel"/>
    <w:tmpl w:val="E8D2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EE5029"/>
    <w:multiLevelType w:val="multilevel"/>
    <w:tmpl w:val="F586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4E1751"/>
    <w:multiLevelType w:val="multilevel"/>
    <w:tmpl w:val="66E27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5915DD"/>
    <w:multiLevelType w:val="multilevel"/>
    <w:tmpl w:val="F1A04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A8209B"/>
    <w:multiLevelType w:val="multilevel"/>
    <w:tmpl w:val="17D2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ED346B"/>
    <w:multiLevelType w:val="multilevel"/>
    <w:tmpl w:val="302A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A46627"/>
    <w:multiLevelType w:val="multilevel"/>
    <w:tmpl w:val="6F06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004803">
    <w:abstractNumId w:val="20"/>
  </w:num>
  <w:num w:numId="2" w16cid:durableId="688917853">
    <w:abstractNumId w:val="7"/>
  </w:num>
  <w:num w:numId="3" w16cid:durableId="2112891615">
    <w:abstractNumId w:val="12"/>
  </w:num>
  <w:num w:numId="4" w16cid:durableId="518466415">
    <w:abstractNumId w:val="0"/>
  </w:num>
  <w:num w:numId="5" w16cid:durableId="1371491751">
    <w:abstractNumId w:val="18"/>
  </w:num>
  <w:num w:numId="6" w16cid:durableId="657729757">
    <w:abstractNumId w:val="5"/>
  </w:num>
  <w:num w:numId="7" w16cid:durableId="1521704107">
    <w:abstractNumId w:val="8"/>
  </w:num>
  <w:num w:numId="8" w16cid:durableId="485709378">
    <w:abstractNumId w:val="11"/>
  </w:num>
  <w:num w:numId="9" w16cid:durableId="2041515465">
    <w:abstractNumId w:val="14"/>
  </w:num>
  <w:num w:numId="10" w16cid:durableId="353919855">
    <w:abstractNumId w:val="1"/>
  </w:num>
  <w:num w:numId="11" w16cid:durableId="1961914615">
    <w:abstractNumId w:val="10"/>
  </w:num>
  <w:num w:numId="12" w16cid:durableId="1201936413">
    <w:abstractNumId w:val="17"/>
  </w:num>
  <w:num w:numId="13" w16cid:durableId="621808334">
    <w:abstractNumId w:val="9"/>
  </w:num>
  <w:num w:numId="14" w16cid:durableId="1174687336">
    <w:abstractNumId w:val="4"/>
  </w:num>
  <w:num w:numId="15" w16cid:durableId="2028866269">
    <w:abstractNumId w:val="6"/>
  </w:num>
  <w:num w:numId="16" w16cid:durableId="1296790855">
    <w:abstractNumId w:val="19"/>
  </w:num>
  <w:num w:numId="17" w16cid:durableId="826943616">
    <w:abstractNumId w:val="16"/>
  </w:num>
  <w:num w:numId="18" w16cid:durableId="341512593">
    <w:abstractNumId w:val="15"/>
  </w:num>
  <w:num w:numId="19" w16cid:durableId="706830936">
    <w:abstractNumId w:val="2"/>
  </w:num>
  <w:num w:numId="20" w16cid:durableId="2083408636">
    <w:abstractNumId w:val="3"/>
  </w:num>
  <w:num w:numId="21" w16cid:durableId="5323071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D08"/>
    <w:rsid w:val="001D7761"/>
    <w:rsid w:val="00451D08"/>
    <w:rsid w:val="0057715C"/>
    <w:rsid w:val="00BA797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DE8F9"/>
  <w15:chartTrackingRefBased/>
  <w15:docId w15:val="{828205BB-F3B0-4635-AF35-853396CD4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D0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51D0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51D0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51D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1D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1D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D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D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D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D0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51D0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51D0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51D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1D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1D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D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D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D08"/>
    <w:rPr>
      <w:rFonts w:eastAsiaTheme="majorEastAsia" w:cstheme="majorBidi"/>
      <w:color w:val="272727" w:themeColor="text1" w:themeTint="D8"/>
    </w:rPr>
  </w:style>
  <w:style w:type="paragraph" w:styleId="Title">
    <w:name w:val="Title"/>
    <w:basedOn w:val="Normal"/>
    <w:next w:val="Normal"/>
    <w:link w:val="TitleChar"/>
    <w:uiPriority w:val="10"/>
    <w:qFormat/>
    <w:rsid w:val="00451D0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51D0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51D0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51D0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51D08"/>
    <w:pPr>
      <w:spacing w:before="160"/>
      <w:jc w:val="center"/>
    </w:pPr>
    <w:rPr>
      <w:i/>
      <w:iCs/>
      <w:color w:val="404040" w:themeColor="text1" w:themeTint="BF"/>
    </w:rPr>
  </w:style>
  <w:style w:type="character" w:customStyle="1" w:styleId="QuoteChar">
    <w:name w:val="Quote Char"/>
    <w:basedOn w:val="DefaultParagraphFont"/>
    <w:link w:val="Quote"/>
    <w:uiPriority w:val="29"/>
    <w:rsid w:val="00451D08"/>
    <w:rPr>
      <w:i/>
      <w:iCs/>
      <w:color w:val="404040" w:themeColor="text1" w:themeTint="BF"/>
    </w:rPr>
  </w:style>
  <w:style w:type="paragraph" w:styleId="ListParagraph">
    <w:name w:val="List Paragraph"/>
    <w:basedOn w:val="Normal"/>
    <w:uiPriority w:val="34"/>
    <w:qFormat/>
    <w:rsid w:val="00451D08"/>
    <w:pPr>
      <w:ind w:left="720"/>
      <w:contextualSpacing/>
    </w:pPr>
  </w:style>
  <w:style w:type="character" w:styleId="IntenseEmphasis">
    <w:name w:val="Intense Emphasis"/>
    <w:basedOn w:val="DefaultParagraphFont"/>
    <w:uiPriority w:val="21"/>
    <w:qFormat/>
    <w:rsid w:val="00451D08"/>
    <w:rPr>
      <w:i/>
      <w:iCs/>
      <w:color w:val="2F5496" w:themeColor="accent1" w:themeShade="BF"/>
    </w:rPr>
  </w:style>
  <w:style w:type="paragraph" w:styleId="IntenseQuote">
    <w:name w:val="Intense Quote"/>
    <w:basedOn w:val="Normal"/>
    <w:next w:val="Normal"/>
    <w:link w:val="IntenseQuoteChar"/>
    <w:uiPriority w:val="30"/>
    <w:qFormat/>
    <w:rsid w:val="00451D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1D08"/>
    <w:rPr>
      <w:i/>
      <w:iCs/>
      <w:color w:val="2F5496" w:themeColor="accent1" w:themeShade="BF"/>
    </w:rPr>
  </w:style>
  <w:style w:type="character" w:styleId="IntenseReference">
    <w:name w:val="Intense Reference"/>
    <w:basedOn w:val="DefaultParagraphFont"/>
    <w:uiPriority w:val="32"/>
    <w:qFormat/>
    <w:rsid w:val="00451D08"/>
    <w:rPr>
      <w:b/>
      <w:bCs/>
      <w:smallCaps/>
      <w:color w:val="2F5496" w:themeColor="accent1" w:themeShade="BF"/>
      <w:spacing w:val="5"/>
    </w:rPr>
  </w:style>
  <w:style w:type="character" w:styleId="Hyperlink">
    <w:name w:val="Hyperlink"/>
    <w:basedOn w:val="DefaultParagraphFont"/>
    <w:uiPriority w:val="99"/>
    <w:unhideWhenUsed/>
    <w:rsid w:val="00451D08"/>
    <w:rPr>
      <w:color w:val="0563C1" w:themeColor="hyperlink"/>
      <w:u w:val="single"/>
    </w:rPr>
  </w:style>
  <w:style w:type="character" w:styleId="UnresolvedMention">
    <w:name w:val="Unresolved Mention"/>
    <w:basedOn w:val="DefaultParagraphFont"/>
    <w:uiPriority w:val="99"/>
    <w:semiHidden/>
    <w:unhideWhenUsed/>
    <w:rsid w:val="00451D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988</Words>
  <Characters>5638</Characters>
  <Application>Microsoft Office Word</Application>
  <DocSecurity>0</DocSecurity>
  <Lines>46</Lines>
  <Paragraphs>13</Paragraphs>
  <ScaleCrop>false</ScaleCrop>
  <Company/>
  <LinksUpToDate>false</LinksUpToDate>
  <CharactersWithSpaces>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Vigneshwar R</dc:creator>
  <cp:keywords/>
  <dc:description/>
  <cp:lastModifiedBy>Vigneshwar R</cp:lastModifiedBy>
  <cp:revision>1</cp:revision>
  <dcterms:created xsi:type="dcterms:W3CDTF">2026-06-03T15:35:00Z</dcterms:created>
  <dcterms:modified xsi:type="dcterms:W3CDTF">2026-06-03T15:38:00Z</dcterms:modified>
</cp:coreProperties>
</file>