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  <w:ind w:right="19"/>
      </w:pPr>
      <w:r>
        <w:rPr/>
        <w:t>FORM NO. 5</w:t>
      </w:r>
    </w:p>
    <w:p>
      <w:pPr>
        <w:tabs>
          <w:tab w:pos="5759" w:val="left" w:leader="none"/>
          <w:tab w:pos="8423" w:val="left" w:leader="none"/>
        </w:tabs>
        <w:spacing w:before="233"/>
        <w:ind w:left="0" w:right="234" w:firstLine="0"/>
        <w:jc w:val="center"/>
        <w:rPr>
          <w:i/>
          <w:sz w:val="20"/>
        </w:rPr>
      </w:pPr>
      <w:r>
        <w:rPr>
          <w:i/>
          <w:sz w:val="20"/>
        </w:rPr>
        <w:t>Registration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No</w:t>
        <w:tab/>
        <w:t>Nominal Capital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R</w:t>
      </w:r>
      <w:r>
        <w:rPr>
          <w:i/>
          <w:sz w:val="20"/>
          <w:u w:val="dotted"/>
        </w:rPr>
        <w:t>s</w:t>
        <w:tab/>
      </w:r>
    </w:p>
    <w:p>
      <w:pPr>
        <w:pStyle w:val="BodyText"/>
        <w:spacing w:line="20" w:lineRule="exact"/>
        <w:ind w:left="1439"/>
        <w:rPr>
          <w:sz w:val="2"/>
        </w:rPr>
      </w:pPr>
      <w:r>
        <w:rPr>
          <w:sz w:val="2"/>
        </w:rPr>
        <w:pict>
          <v:group style="width:93.6pt;height:.5pt;mso-position-horizontal-relative:char;mso-position-vertical-relative:line" coordorigin="0,0" coordsize="1872,10">
            <v:line style="position:absolute" from="0,5" to="1872,5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i/>
          <w:sz w:val="19"/>
        </w:rPr>
      </w:pPr>
    </w:p>
    <w:p>
      <w:pPr>
        <w:pStyle w:val="BodyText"/>
        <w:ind w:right="21"/>
        <w:jc w:val="center"/>
      </w:pPr>
      <w:r>
        <w:rPr/>
        <w:t>COMPANIES ACT, 1956</w:t>
      </w:r>
    </w:p>
    <w:p>
      <w:pPr>
        <w:pStyle w:val="Heading1"/>
      </w:pPr>
      <w:r>
        <w:rPr/>
        <w:t>Notice of consolidation, division, etc.,/increase in share capital/increase in number of members</w:t>
      </w:r>
    </w:p>
    <w:p>
      <w:pPr>
        <w:spacing w:before="1"/>
        <w:ind w:left="0" w:right="26" w:firstLine="0"/>
        <w:jc w:val="center"/>
        <w:rPr>
          <w:i/>
          <w:sz w:val="20"/>
        </w:rPr>
      </w:pPr>
      <w:r>
        <w:rPr>
          <w:i/>
          <w:sz w:val="20"/>
        </w:rPr>
        <w:t>[Pursuant to sections 95, 97/94A(2)/81(4)]</w:t>
      </w:r>
    </w:p>
    <w:p>
      <w:pPr>
        <w:pStyle w:val="BodyText"/>
        <w:tabs>
          <w:tab w:pos="8473" w:val="left" w:leader="none"/>
        </w:tabs>
        <w:spacing w:before="5"/>
        <w:ind w:right="184"/>
        <w:jc w:val="center"/>
      </w:pPr>
      <w:r>
        <w:rPr/>
        <w:t>Name of the</w:t>
      </w:r>
      <w:r>
        <w:rPr>
          <w:spacing w:val="-11"/>
        </w:rPr>
        <w:t> </w:t>
      </w:r>
      <w:r>
        <w:rPr>
          <w:spacing w:val="-3"/>
        </w:rPr>
        <w:t>company.</w:t>
      </w:r>
      <w:r>
        <w:rPr>
          <w:u w:val="dotted"/>
        </w:rPr>
        <w:t> </w:t>
        <w:tab/>
      </w:r>
    </w:p>
    <w:p>
      <w:pPr>
        <w:pStyle w:val="BodyText"/>
        <w:spacing w:before="7"/>
        <w:rPr>
          <w:sz w:val="16"/>
        </w:rPr>
      </w:pPr>
      <w:r>
        <w:rPr/>
        <w:pict>
          <v:line style="position:absolute;mso-position-horizontal-relative:page;mso-position-vertical-relative:paragraph;z-index:-15728128;mso-wrap-distance-left:0;mso-wrap-distance-right:0" from="93.599998pt,12.011801pt" to="518.399989pt,12.131801pt" stroked="true" strokeweight=".999996pt" strokecolor="#000000">
            <v:stroke dashstyle="solid"/>
            <w10:wrap type="topAndBottom"/>
          </v:line>
        </w:pict>
      </w:r>
    </w:p>
    <w:p>
      <w:pPr>
        <w:pStyle w:val="BodyText"/>
        <w:spacing w:before="194"/>
        <w:ind w:left="219"/>
      </w:pPr>
      <w:r>
        <w:rPr/>
        <w:t>Notice is hereby given:</w:t>
      </w:r>
      <w:r>
        <w:rPr>
          <w:w w:val="99"/>
          <w:u w:val="single"/>
        </w:rPr>
        <w:t> </w:t>
      </w:r>
      <w:r>
        <w:rPr>
          <w:u w:val="single"/>
        </w:rPr>
        <w:t> 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219"/>
      </w:pPr>
      <w:r>
        <w:rPr>
          <w:b/>
        </w:rPr>
        <w:t>*1. </w:t>
      </w:r>
      <w:r>
        <w:rPr/>
        <w:t>In accordance with section 95 of the Companies Act, 1956 that**</w:t>
      </w:r>
    </w:p>
    <w:p>
      <w:pPr>
        <w:pStyle w:val="BodyText"/>
        <w:tabs>
          <w:tab w:pos="5931" w:val="left" w:leader="dot"/>
        </w:tabs>
        <w:spacing w:line="244" w:lineRule="auto" w:before="8"/>
        <w:ind w:left="219" w:right="2521"/>
      </w:pPr>
      <w:r>
        <w:rPr>
          <w:b/>
        </w:rPr>
        <w:t>*2. </w:t>
      </w:r>
      <w:r>
        <w:rPr/>
        <w:t>In accordance with section 97 of the companies Act, 1956 that by ordinary resolution/special  resolution  of the company</w:t>
      </w:r>
      <w:r>
        <w:rPr>
          <w:spacing w:val="-32"/>
        </w:rPr>
        <w:t> </w:t>
      </w:r>
      <w:r>
        <w:rPr/>
        <w:t>dated</w:t>
      </w:r>
      <w:r>
        <w:rPr>
          <w:spacing w:val="-3"/>
        </w:rPr>
        <w:t> </w:t>
      </w:r>
      <w:r>
        <w:rPr/>
        <w:t>the</w:t>
        <w:tab/>
        <w:t>day</w:t>
      </w:r>
      <w:r>
        <w:rPr>
          <w:spacing w:val="-4"/>
        </w:rPr>
        <w:t> </w:t>
      </w:r>
      <w:r>
        <w:rPr/>
        <w:t>of</w:t>
      </w:r>
    </w:p>
    <w:p>
      <w:pPr>
        <w:pStyle w:val="BodyText"/>
        <w:spacing w:before="1"/>
        <w:ind w:left="219"/>
      </w:pPr>
      <w:r>
        <w:rPr/>
        <w:t>………………19 …………</w:t>
      </w:r>
    </w:p>
    <w:p>
      <w:pPr>
        <w:pStyle w:val="ListParagraph"/>
        <w:numPr>
          <w:ilvl w:val="0"/>
          <w:numId w:val="1"/>
        </w:numPr>
        <w:tabs>
          <w:tab w:pos="1659" w:val="left" w:leader="none"/>
          <w:tab w:pos="1660" w:val="left" w:leader="none"/>
          <w:tab w:pos="3971" w:val="left" w:leader="dot"/>
        </w:tabs>
        <w:spacing w:line="244" w:lineRule="auto" w:before="5" w:after="0"/>
        <w:ind w:left="219" w:right="1891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authorised</w:t>
      </w:r>
      <w:r>
        <w:rPr>
          <w:spacing w:val="-3"/>
          <w:sz w:val="20"/>
        </w:rPr>
        <w:t> </w:t>
      </w:r>
      <w:r>
        <w:rPr>
          <w:sz w:val="20"/>
        </w:rPr>
        <w:t>share</w:t>
      </w:r>
      <w:r>
        <w:rPr>
          <w:spacing w:val="-4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has</w:t>
      </w:r>
      <w:r>
        <w:rPr>
          <w:spacing w:val="-5"/>
          <w:sz w:val="20"/>
        </w:rPr>
        <w:t> </w:t>
      </w:r>
      <w:r>
        <w:rPr>
          <w:sz w:val="20"/>
        </w:rPr>
        <w:t>been</w:t>
      </w:r>
      <w:r>
        <w:rPr>
          <w:spacing w:val="-4"/>
          <w:sz w:val="20"/>
        </w:rPr>
        <w:t> </w:t>
      </w:r>
      <w:r>
        <w:rPr>
          <w:sz w:val="20"/>
        </w:rPr>
        <w:t>increased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the addition thereto the sum</w:t>
      </w:r>
      <w:r>
        <w:rPr>
          <w:spacing w:val="-1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Rs</w:t>
        <w:tab/>
        <w:t>beyond the present authorised capital</w:t>
      </w:r>
      <w:r>
        <w:rPr>
          <w:spacing w:val="-19"/>
          <w:sz w:val="20"/>
        </w:rPr>
        <w:t> </w:t>
      </w:r>
      <w:r>
        <w:rPr>
          <w:sz w:val="20"/>
        </w:rPr>
        <w:t>of</w:t>
      </w:r>
    </w:p>
    <w:p>
      <w:pPr>
        <w:pStyle w:val="BodyText"/>
        <w:spacing w:before="2"/>
        <w:ind w:left="219"/>
      </w:pPr>
      <w:r>
        <w:rPr/>
        <w:t>Rs. ………………..</w:t>
      </w:r>
    </w:p>
    <w:p>
      <w:pPr>
        <w:pStyle w:val="ListParagraph"/>
        <w:numPr>
          <w:ilvl w:val="0"/>
          <w:numId w:val="1"/>
        </w:numPr>
        <w:tabs>
          <w:tab w:pos="1659" w:val="left" w:leader="none"/>
          <w:tab w:pos="1660" w:val="left" w:leader="none"/>
          <w:tab w:pos="3191" w:val="left" w:leader="dot"/>
        </w:tabs>
        <w:spacing w:line="244" w:lineRule="auto" w:before="5" w:after="0"/>
        <w:ind w:left="219" w:right="1843" w:firstLine="0"/>
        <w:jc w:val="left"/>
        <w:rPr>
          <w:sz w:val="20"/>
        </w:rPr>
      </w:pP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members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  <w:r>
        <w:rPr>
          <w:spacing w:val="-8"/>
          <w:sz w:val="20"/>
        </w:rPr>
        <w:t> </w:t>
      </w:r>
      <w:r>
        <w:rPr>
          <w:sz w:val="20"/>
        </w:rPr>
        <w:t>has</w:t>
      </w:r>
      <w:r>
        <w:rPr>
          <w:spacing w:val="-6"/>
          <w:sz w:val="20"/>
        </w:rPr>
        <w:t> </w:t>
      </w:r>
      <w:r>
        <w:rPr>
          <w:sz w:val="20"/>
        </w:rPr>
        <w:t>been</w:t>
      </w:r>
      <w:r>
        <w:rPr>
          <w:spacing w:val="-5"/>
          <w:sz w:val="20"/>
        </w:rPr>
        <w:t> </w:t>
      </w:r>
      <w:r>
        <w:rPr>
          <w:sz w:val="20"/>
        </w:rPr>
        <w:t>increased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the addition</w:t>
      </w:r>
      <w:r>
        <w:rPr>
          <w:spacing w:val="-3"/>
          <w:sz w:val="20"/>
        </w:rPr>
        <w:t> </w:t>
      </w:r>
      <w:r>
        <w:rPr>
          <w:sz w:val="20"/>
        </w:rPr>
        <w:t>thereto</w:t>
      </w:r>
      <w:r>
        <w:rPr>
          <w:spacing w:val="-1"/>
          <w:sz w:val="20"/>
        </w:rPr>
        <w:t> </w:t>
      </w:r>
      <w:r>
        <w:rPr>
          <w:sz w:val="20"/>
        </w:rPr>
        <w:t>of</w:t>
        <w:tab/>
        <w:t>members beyond the present registered number</w:t>
      </w:r>
      <w:r>
        <w:rPr>
          <w:spacing w:val="-30"/>
          <w:sz w:val="20"/>
        </w:rPr>
        <w:t> </w:t>
      </w:r>
      <w:r>
        <w:rPr>
          <w:sz w:val="20"/>
        </w:rPr>
        <w:t>of</w:t>
      </w:r>
    </w:p>
    <w:p>
      <w:pPr>
        <w:pStyle w:val="BodyText"/>
        <w:spacing w:before="1"/>
        <w:ind w:left="219"/>
      </w:pPr>
      <w:r>
        <w:rPr/>
        <w:t>…………………</w:t>
      </w:r>
    </w:p>
    <w:p>
      <w:pPr>
        <w:pStyle w:val="BodyText"/>
        <w:tabs>
          <w:tab w:pos="1119" w:val="left" w:leader="none"/>
          <w:tab w:pos="1659" w:val="left" w:leader="none"/>
          <w:tab w:pos="3111" w:val="left" w:leader="none"/>
          <w:tab w:pos="4866" w:val="left" w:leader="none"/>
          <w:tab w:pos="6222" w:val="left" w:leader="dot"/>
        </w:tabs>
        <w:spacing w:line="244" w:lineRule="auto" w:before="8"/>
        <w:ind w:left="219" w:right="2006"/>
      </w:pPr>
      <w:r>
        <w:rPr>
          <w:b/>
        </w:rPr>
        <w:t>*3</w:t>
        <w:tab/>
      </w:r>
      <w:r>
        <w:rPr/>
        <w:t>(I)</w:t>
        <w:tab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sub-section</w:t>
      </w:r>
      <w:r>
        <w:rPr>
          <w:spacing w:val="-5"/>
        </w:rPr>
        <w:t> </w:t>
      </w:r>
      <w:r>
        <w:rPr/>
        <w:t>(3)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94A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Companies Act, 1956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  <w:tab/>
        <w:tab/>
        <w:t>share capital of the company has been increased beyond the present authorised</w:t>
      </w:r>
      <w:r>
        <w:rPr>
          <w:spacing w:val="-13"/>
        </w:rPr>
        <w:t> </w:t>
      </w:r>
      <w:r>
        <w:rPr/>
        <w:t>capital</w:t>
      </w:r>
      <w:r>
        <w:rPr>
          <w:spacing w:val="-4"/>
        </w:rPr>
        <w:t> </w:t>
      </w:r>
      <w:r>
        <w:rPr/>
        <w:t>of</w:t>
        <w:tab/>
        <w:t>Rs</w:t>
        <w:tab/>
        <w:t>by</w:t>
      </w:r>
      <w:r>
        <w:rPr>
          <w:spacing w:val="-4"/>
        </w:rPr>
        <w:t> </w:t>
      </w:r>
      <w:r>
        <w:rPr/>
        <w:t>Rs.</w:t>
      </w:r>
    </w:p>
    <w:p>
      <w:pPr>
        <w:pStyle w:val="BodyText"/>
        <w:tabs>
          <w:tab w:pos="5900" w:val="left" w:leader="dot"/>
        </w:tabs>
        <w:spacing w:before="2"/>
        <w:ind w:left="219"/>
      </w:pPr>
      <w:r>
        <w:rPr/>
        <w:t>………………… consequent upon an</w:t>
      </w:r>
      <w:r>
        <w:rPr>
          <w:spacing w:val="-12"/>
        </w:rPr>
        <w:t> </w:t>
      </w:r>
      <w:r>
        <w:rPr/>
        <w:t>order</w:t>
      </w:r>
      <w:r>
        <w:rPr>
          <w:spacing w:val="-2"/>
        </w:rPr>
        <w:t> </w:t>
      </w:r>
      <w:r>
        <w:rPr/>
        <w:t>dated</w:t>
        <w:tab/>
        <w:t>Of the</w:t>
      </w:r>
      <w:r>
        <w:rPr>
          <w:spacing w:val="-2"/>
        </w:rPr>
        <w:t> </w:t>
      </w:r>
      <w:r>
        <w:rPr/>
        <w:t>Central</w:t>
      </w:r>
    </w:p>
    <w:p>
      <w:pPr>
        <w:pStyle w:val="BodyText"/>
        <w:tabs>
          <w:tab w:pos="4122" w:val="left" w:leader="dot"/>
        </w:tabs>
        <w:spacing w:line="244" w:lineRule="auto" w:before="5"/>
        <w:ind w:left="219" w:right="1843"/>
      </w:pPr>
      <w:r>
        <w:rPr/>
        <w:t>Government under sub-section (4) of section 81 or sub-section (2) of section 94A of the Act on an application made to</w:t>
      </w:r>
      <w:r>
        <w:rPr>
          <w:spacing w:val="-13"/>
        </w:rPr>
        <w:t> </w:t>
      </w:r>
      <w:r>
        <w:rPr/>
        <w:t>it</w:t>
      </w:r>
      <w:r>
        <w:rPr>
          <w:spacing w:val="-2"/>
        </w:rPr>
        <w:t> </w:t>
      </w:r>
      <w:r>
        <w:rPr/>
        <w:t>by</w:t>
        <w:tab/>
        <w:t>(here</w:t>
      </w:r>
      <w:r>
        <w:rPr>
          <w:spacing w:val="-6"/>
        </w:rPr>
        <w:t> </w:t>
      </w:r>
      <w:r>
        <w:rPr/>
        <w:t>mention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financial</w:t>
      </w:r>
    </w:p>
    <w:p>
      <w:pPr>
        <w:pStyle w:val="BodyText"/>
        <w:spacing w:before="1"/>
        <w:ind w:left="219"/>
      </w:pPr>
      <w:r>
        <w:rPr/>
        <w:t>institution) for conversion of debentures /loans into shares.</w:t>
      </w:r>
    </w:p>
    <w:p>
      <w:pPr>
        <w:pStyle w:val="BodyText"/>
        <w:tabs>
          <w:tab w:pos="1659" w:val="left" w:leader="none"/>
        </w:tabs>
        <w:spacing w:line="244" w:lineRule="auto" w:before="5"/>
        <w:ind w:left="219" w:right="2021" w:firstLine="900"/>
      </w:pPr>
      <w:r>
        <w:rPr/>
        <w:t>(ii)</w:t>
        <w:tab/>
        <w:t>a</w:t>
      </w:r>
      <w:r>
        <w:rPr>
          <w:spacing w:val="-4"/>
        </w:rPr>
        <w:t> </w:t>
      </w:r>
      <w:r>
        <w:rPr/>
        <w:t>copy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aforesaid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 Central Government on</w:t>
      </w:r>
      <w:r>
        <w:rPr>
          <w:spacing w:val="-2"/>
        </w:rPr>
        <w:t> </w:t>
      </w:r>
      <w:r>
        <w:rPr/>
        <w:t>…………………</w:t>
      </w:r>
    </w:p>
    <w:p>
      <w:pPr>
        <w:pStyle w:val="BodyText"/>
        <w:tabs>
          <w:tab w:pos="579" w:val="left" w:leader="none"/>
        </w:tabs>
        <w:spacing w:before="4"/>
        <w:ind w:left="219"/>
      </w:pPr>
      <w:r>
        <w:rPr>
          <w:b/>
        </w:rPr>
        <w:t>4.</w:t>
        <w:tab/>
      </w:r>
      <w:r>
        <w:rPr/>
        <w:t>The additional capital is divided as</w:t>
      </w:r>
      <w:r>
        <w:rPr>
          <w:spacing w:val="-2"/>
        </w:rPr>
        <w:t> </w:t>
      </w:r>
      <w:r>
        <w:rPr/>
        <w:t>follows: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9"/>
        <w:gridCol w:w="2609"/>
        <w:gridCol w:w="3708"/>
      </w:tblGrid>
      <w:tr>
        <w:trPr>
          <w:trHeight w:val="469" w:hRule="atLeast"/>
        </w:trPr>
        <w:tc>
          <w:tcPr>
            <w:tcW w:w="2539" w:type="dxa"/>
          </w:tcPr>
          <w:p>
            <w:pPr>
              <w:pStyle w:val="TableParagraph"/>
              <w:ind w:left="717" w:right="705"/>
              <w:rPr>
                <w:sz w:val="20"/>
              </w:rPr>
            </w:pPr>
            <w:r>
              <w:rPr>
                <w:sz w:val="20"/>
              </w:rPr>
              <w:t>No. of shares</w:t>
            </w:r>
          </w:p>
        </w:tc>
        <w:tc>
          <w:tcPr>
            <w:tcW w:w="2609" w:type="dxa"/>
          </w:tcPr>
          <w:p>
            <w:pPr>
              <w:pStyle w:val="TableParagraph"/>
              <w:ind w:left="684" w:right="669"/>
              <w:rPr>
                <w:sz w:val="20"/>
              </w:rPr>
            </w:pPr>
            <w:r>
              <w:rPr>
                <w:sz w:val="20"/>
              </w:rPr>
              <w:t>Class of shares</w:t>
            </w:r>
          </w:p>
        </w:tc>
        <w:tc>
          <w:tcPr>
            <w:tcW w:w="3708" w:type="dxa"/>
          </w:tcPr>
          <w:p>
            <w:pPr>
              <w:pStyle w:val="TableParagraph"/>
              <w:ind w:left="604" w:right="593"/>
              <w:rPr>
                <w:sz w:val="20"/>
              </w:rPr>
            </w:pPr>
            <w:r>
              <w:rPr>
                <w:sz w:val="20"/>
              </w:rPr>
              <w:t>Nominal amount of each share</w:t>
            </w:r>
          </w:p>
        </w:tc>
      </w:tr>
      <w:tr>
        <w:trPr>
          <w:trHeight w:val="469" w:hRule="atLeast"/>
        </w:trPr>
        <w:tc>
          <w:tcPr>
            <w:tcW w:w="2539" w:type="dxa"/>
          </w:tcPr>
          <w:p>
            <w:pPr>
              <w:pStyle w:val="TableParagraph"/>
              <w:ind w:left="717" w:right="704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2609" w:type="dxa"/>
          </w:tcPr>
          <w:p>
            <w:pPr>
              <w:pStyle w:val="TableParagraph"/>
              <w:ind w:left="684" w:right="668"/>
              <w:rPr>
                <w:sz w:val="20"/>
              </w:rPr>
            </w:pPr>
            <w:r>
              <w:rPr>
                <w:sz w:val="20"/>
              </w:rPr>
              <w:t>(2)</w:t>
            </w:r>
          </w:p>
        </w:tc>
        <w:tc>
          <w:tcPr>
            <w:tcW w:w="3708" w:type="dxa"/>
          </w:tcPr>
          <w:p>
            <w:pPr>
              <w:pStyle w:val="TableParagraph"/>
              <w:ind w:left="604" w:right="593"/>
              <w:rPr>
                <w:sz w:val="20"/>
              </w:rPr>
            </w:pPr>
            <w:r>
              <w:rPr>
                <w:sz w:val="20"/>
              </w:rPr>
              <w:t>(3)</w:t>
            </w:r>
          </w:p>
        </w:tc>
      </w:tr>
      <w:tr>
        <w:trPr>
          <w:trHeight w:val="469" w:hRule="atLeast"/>
        </w:trPr>
        <w:tc>
          <w:tcPr>
            <w:tcW w:w="2539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09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708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spacing w:line="244" w:lineRule="auto" w:before="97"/>
        <w:ind w:left="219" w:right="397" w:firstLine="720"/>
      </w:pPr>
      <w:r>
        <w:rPr/>
        <w:t>The condition (e.g. Voting rights, dividend rights, winding-up rights, etc.) subject to which new shares have been issued, are as follows.(if any of the new shares are preference shares. State whether they are redeemable or not).</w:t>
      </w:r>
    </w:p>
    <w:p>
      <w:pPr>
        <w:pStyle w:val="BodyText"/>
        <w:tabs>
          <w:tab w:pos="2213" w:val="left" w:leader="none"/>
          <w:tab w:pos="4055" w:val="left" w:leader="none"/>
          <w:tab w:pos="5048" w:val="left" w:leader="none"/>
        </w:tabs>
        <w:spacing w:before="2"/>
        <w:ind w:left="219"/>
      </w:pPr>
      <w:r>
        <w:rPr/>
        <w:t>Dated</w:t>
      </w:r>
      <w:r>
        <w:rPr>
          <w:spacing w:val="-1"/>
        </w:rPr>
        <w:t> </w:t>
      </w:r>
      <w:r>
        <w:rPr>
          <w:spacing w:val="-8"/>
        </w:rPr>
        <w:t>this</w:t>
      </w:r>
      <w:r>
        <w:rPr>
          <w:spacing w:val="-8"/>
          <w:u w:val="dotted"/>
        </w:rPr>
        <w:t> </w:t>
        <w:tab/>
      </w:r>
      <w:r>
        <w:rPr/>
        <w:t>day</w:t>
      </w:r>
      <w:r>
        <w:rPr>
          <w:spacing w:val="-4"/>
        </w:rPr>
        <w:t> </w:t>
      </w:r>
      <w:r>
        <w:rPr/>
        <w:t>of</w:t>
      </w:r>
      <w:r>
        <w:rPr>
          <w:u w:val="dotted"/>
        </w:rPr>
        <w:t> </w:t>
        <w:tab/>
      </w:r>
      <w:r>
        <w:rPr/>
        <w:t>1</w:t>
      </w:r>
      <w:r>
        <w:rPr>
          <w:u w:val="dotted"/>
        </w:rPr>
        <w:t>9</w:t>
        <w:tab/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line="20" w:lineRule="exact"/>
        <w:ind w:left="6767"/>
        <w:rPr>
          <w:sz w:val="2"/>
        </w:rPr>
      </w:pPr>
      <w:r>
        <w:rPr>
          <w:sz w:val="2"/>
        </w:rPr>
        <w:pict>
          <v:group style="width:108.5pt;height:.65pt;mso-position-horizontal-relative:char;mso-position-vertical-relative:line" coordorigin="0,0" coordsize="2170,13">
            <v:line style="position:absolute" from="5,5" to="2165,7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1360" w:bottom="280" w:left="1580" w:right="15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34"/>
        </w:rPr>
      </w:pPr>
    </w:p>
    <w:p>
      <w:pPr>
        <w:pStyle w:val="BodyText"/>
        <w:tabs>
          <w:tab w:pos="939" w:val="left" w:leader="none"/>
        </w:tabs>
        <w:ind w:left="219"/>
      </w:pPr>
      <w:r>
        <w:rPr/>
        <w:t>*</w:t>
        <w:tab/>
        <w:t>Strike out which is not</w:t>
      </w:r>
      <w:r>
        <w:rPr>
          <w:spacing w:val="-23"/>
        </w:rPr>
        <w:t> </w:t>
      </w:r>
      <w:r>
        <w:rPr/>
        <w:t>applicable.</w:t>
      </w:r>
    </w:p>
    <w:p>
      <w:pPr>
        <w:pStyle w:val="BodyText"/>
        <w:spacing w:before="86"/>
        <w:ind w:right="238"/>
        <w:jc w:val="right"/>
      </w:pPr>
      <w:r>
        <w:rPr/>
        <w:br w:type="column"/>
      </w:r>
      <w:r>
        <w:rPr>
          <w:spacing w:val="-2"/>
        </w:rPr>
        <w:t>Signature</w:t>
      </w:r>
    </w:p>
    <w:p>
      <w:pPr>
        <w:pStyle w:val="BodyText"/>
      </w:pPr>
    </w:p>
    <w:p>
      <w:pPr>
        <w:pStyle w:val="BodyText"/>
        <w:spacing w:line="20" w:lineRule="exact"/>
        <w:ind w:left="-486"/>
        <w:rPr>
          <w:sz w:val="2"/>
        </w:rPr>
      </w:pPr>
      <w:r>
        <w:rPr>
          <w:sz w:val="2"/>
        </w:rPr>
        <w:pict>
          <v:group style="width:108.5pt;height:.65pt;mso-position-horizontal-relative:char;mso-position-vertical-relative:line" coordorigin="0,0" coordsize="2170,13">
            <v:line style="position:absolute" from="5,5" to="2165,7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  <w:spacing w:line="244" w:lineRule="auto"/>
        <w:ind w:left="219" w:right="221" w:firstLine="914"/>
      </w:pPr>
      <w:r>
        <w:rPr>
          <w:spacing w:val="-1"/>
        </w:rPr>
        <w:t>Name </w:t>
      </w:r>
      <w:r>
        <w:rPr/>
        <w:t>In Block</w:t>
      </w:r>
      <w:r>
        <w:rPr>
          <w:spacing w:val="-9"/>
        </w:rPr>
        <w:t> </w:t>
      </w:r>
      <w:r>
        <w:rPr/>
        <w:t>Capital)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line="20" w:lineRule="exact"/>
        <w:ind w:left="-630"/>
        <w:rPr>
          <w:sz w:val="2"/>
        </w:rPr>
      </w:pPr>
      <w:r>
        <w:rPr>
          <w:sz w:val="2"/>
        </w:rPr>
        <w:pict>
          <v:group style="width:115.7pt;height:.65pt;mso-position-horizontal-relative:char;mso-position-vertical-relative:line" coordorigin="0,0" coordsize="2314,13">
            <v:line style="position:absolute" from="5,5" to="2309,7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  <w:ind w:right="236"/>
        <w:jc w:val="right"/>
      </w:pPr>
      <w:r>
        <w:rPr>
          <w:spacing w:val="-1"/>
        </w:rPr>
        <w:t>Designation</w:t>
      </w:r>
    </w:p>
    <w:p>
      <w:pPr>
        <w:spacing w:after="0"/>
        <w:jc w:val="right"/>
        <w:sectPr>
          <w:type w:val="continuous"/>
          <w:pgSz w:w="12240" w:h="15840"/>
          <w:pgMar w:top="1360" w:bottom="280" w:left="1580" w:right="1560"/>
          <w:cols w:num="2" w:equalWidth="0">
            <w:col w:w="3701" w:space="3551"/>
            <w:col w:w="1848"/>
          </w:cols>
        </w:sectPr>
      </w:pPr>
    </w:p>
    <w:p>
      <w:pPr>
        <w:pStyle w:val="BodyText"/>
        <w:tabs>
          <w:tab w:pos="939" w:val="left" w:leader="none"/>
        </w:tabs>
        <w:spacing w:line="244" w:lineRule="auto" w:before="80"/>
        <w:ind w:left="939" w:right="354" w:hanging="720"/>
      </w:pPr>
      <w:r>
        <w:rPr/>
        <w:t>**</w:t>
        <w:tab/>
        <w:t>Here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particulars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falling</w:t>
      </w:r>
      <w:r>
        <w:rPr>
          <w:spacing w:val="-4"/>
        </w:rPr>
        <w:t> </w:t>
      </w:r>
      <w:r>
        <w:rPr/>
        <w:t>under</w:t>
      </w:r>
      <w:r>
        <w:rPr>
          <w:spacing w:val="-1"/>
        </w:rPr>
        <w:t> </w:t>
      </w:r>
      <w:r>
        <w:rPr/>
        <w:t>clause</w:t>
      </w:r>
      <w:r>
        <w:rPr>
          <w:spacing w:val="-3"/>
        </w:rPr>
        <w:t> </w:t>
      </w:r>
      <w:r>
        <w:rPr/>
        <w:t>(a),</w:t>
      </w:r>
      <w:r>
        <w:rPr>
          <w:spacing w:val="-2"/>
        </w:rPr>
        <w:t> </w:t>
      </w:r>
      <w:r>
        <w:rPr/>
        <w:t>(b),</w:t>
      </w:r>
      <w:r>
        <w:rPr>
          <w:spacing w:val="-1"/>
        </w:rPr>
        <w:t> </w:t>
      </w:r>
      <w:r>
        <w:rPr/>
        <w:t>(c),</w:t>
      </w:r>
      <w:r>
        <w:rPr>
          <w:spacing w:val="-2"/>
        </w:rPr>
        <w:t> </w:t>
      </w:r>
      <w:r>
        <w:rPr/>
        <w:t>(d),</w:t>
      </w:r>
      <w:r>
        <w:rPr>
          <w:spacing w:val="-2"/>
        </w:rPr>
        <w:t> </w:t>
      </w:r>
      <w:r>
        <w:rPr/>
        <w:t>(e),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(f)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sub</w:t>
      </w:r>
      <w:r>
        <w:rPr>
          <w:spacing w:val="-2"/>
        </w:rPr>
        <w:t> </w:t>
      </w:r>
      <w:r>
        <w:rPr/>
        <w:t>section</w:t>
      </w:r>
      <w:r>
        <w:rPr>
          <w:spacing w:val="-4"/>
        </w:rPr>
        <w:t> </w:t>
      </w:r>
      <w:r>
        <w:rPr/>
        <w:t>(1) of section 95. If the a case falls under more than one of these clauses, specify the portion falling under each clause</w:t>
      </w:r>
      <w:r>
        <w:rPr>
          <w:spacing w:val="-1"/>
        </w:rPr>
        <w:t> </w:t>
      </w:r>
      <w:r>
        <w:rPr/>
        <w:t>separately.</w:t>
      </w:r>
    </w:p>
    <w:sectPr>
      <w:pgSz w:w="12240" w:h="15840"/>
      <w:pgMar w:top="136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220" w:hanging="1440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1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1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2" w:hanging="1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1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8" w:hanging="1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6" w:hanging="1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14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"/>
      <w:ind w:right="17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219" w:right="18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fm5.doc</dc:title>
  <dcterms:created xsi:type="dcterms:W3CDTF">2020-09-15T10:41:29Z</dcterms:created>
  <dcterms:modified xsi:type="dcterms:W3CDTF">2020-09-15T10:41:29Z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