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98"/>
        <w:ind w:right="2148"/>
      </w:pPr>
      <w:r>
        <w:rPr>
          <w:w w:val="105"/>
        </w:rPr>
        <w:t>FORM 7C</w:t>
      </w:r>
    </w:p>
    <w:p>
      <w:pPr>
        <w:pStyle w:val="BodyText"/>
        <w:spacing w:before="4"/>
        <w:ind w:left="2139" w:right="2148" w:firstLine="0"/>
        <w:jc w:val="center"/>
      </w:pPr>
      <w:r>
        <w:rPr>
          <w:w w:val="105"/>
        </w:rPr>
        <w:t>THE COMPANIES ACT, 1956</w:t>
      </w:r>
    </w:p>
    <w:p>
      <w:pPr>
        <w:pStyle w:val="Heading1"/>
        <w:spacing w:line="207" w:lineRule="exact" w:before="16"/>
      </w:pPr>
      <w:r>
        <w:rPr>
          <w:w w:val="105"/>
        </w:rPr>
        <w:t>Application for extension of time under section 108(1D)</w:t>
      </w:r>
    </w:p>
    <w:p>
      <w:pPr>
        <w:pStyle w:val="BodyText"/>
        <w:spacing w:line="207" w:lineRule="exact" w:before="0"/>
        <w:ind w:left="2139" w:right="2151" w:firstLine="0"/>
        <w:jc w:val="center"/>
      </w:pPr>
      <w:r>
        <w:rPr>
          <w:w w:val="105"/>
        </w:rPr>
        <w:t>[pursuant to section 108(1D)]</w:t>
      </w:r>
    </w:p>
    <w:p>
      <w:pPr>
        <w:pStyle w:val="BodyText"/>
        <w:spacing w:line="249" w:lineRule="auto" w:before="12"/>
        <w:ind w:left="490" w:right="5574" w:firstLine="0"/>
      </w:pPr>
      <w:r>
        <w:rPr>
          <w:w w:val="105"/>
        </w:rPr>
        <w:t>Registration of Companies. Regional Directors.</w:t>
      </w:r>
    </w:p>
    <w:p>
      <w:pPr>
        <w:pStyle w:val="BodyText"/>
        <w:spacing w:line="249" w:lineRule="auto" w:before="1"/>
        <w:ind w:left="490" w:right="1947" w:firstLine="0"/>
      </w:pPr>
      <w:r>
        <w:rPr>
          <w:i/>
          <w:w w:val="105"/>
        </w:rPr>
        <w:t>Subject </w:t>
      </w:r>
      <w:r>
        <w:rPr>
          <w:w w:val="105"/>
        </w:rPr>
        <w:t>: Extension of time under section 108(1D) of the Companies Act, 1956. Dear Sir,</w:t>
      </w:r>
    </w:p>
    <w:p>
      <w:pPr>
        <w:pStyle w:val="BodyText"/>
        <w:spacing w:line="247" w:lineRule="auto" w:before="4"/>
        <w:ind w:left="490" w:right="514" w:firstLine="0"/>
      </w:pPr>
      <w:r>
        <w:rPr>
          <w:w w:val="105"/>
        </w:rPr>
        <w:t>I beg to apply for extention of time under section 108(1D) of the Companies Act, 1956, and request you to kindly accord the same at an early date.</w:t>
      </w:r>
    </w:p>
    <w:p>
      <w:pPr>
        <w:pStyle w:val="BodyText"/>
        <w:spacing w:before="3"/>
        <w:ind w:left="490" w:firstLine="0"/>
      </w:pPr>
      <w:r>
        <w:rPr>
          <w:w w:val="105"/>
        </w:rPr>
        <w:t>The brief particulars in respect of my holding are as under:--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Name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company (with address) whose shares are the subject </w:t>
      </w:r>
      <w:r>
        <w:rPr>
          <w:spacing w:val="-3"/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transfer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12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Name and address of the applicant seeking extension 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time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Number and nominal value of the shares involved in each instrument of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transfer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Name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transferee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7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Date of execution of the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transfer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11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Date of expiry of the period of validity of the instrument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transfer 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question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Whether the applicant is still the rightful holder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transfer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forms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Name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person in whose favour the share stand registered in the books of the</w:t>
      </w:r>
      <w:r>
        <w:rPr>
          <w:spacing w:val="-24"/>
          <w:w w:val="105"/>
          <w:sz w:val="18"/>
        </w:rPr>
        <w:t> </w:t>
      </w:r>
      <w:r>
        <w:rPr>
          <w:w w:val="105"/>
          <w:sz w:val="18"/>
        </w:rPr>
        <w:t>company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9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Reasons given by the applicant for the extension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time asked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for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11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Particulars of payment of the application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fee</w:t>
      </w:r>
    </w:p>
    <w:p>
      <w:pPr>
        <w:pStyle w:val="BodyText"/>
        <w:tabs>
          <w:tab w:pos="2089" w:val="left" w:leader="none"/>
          <w:tab w:pos="5904" w:val="left" w:leader="none"/>
          <w:tab w:pos="8180" w:val="left" w:leader="none"/>
        </w:tabs>
        <w:spacing w:before="7"/>
        <w:ind w:left="490" w:firstLine="0"/>
      </w:pPr>
      <w:r>
        <w:rPr>
          <w:w w:val="105"/>
        </w:rPr>
        <w:t>Dated</w:t>
      </w:r>
      <w:r>
        <w:rPr>
          <w:w w:val="105"/>
          <w:u w:val="dotted"/>
        </w:rPr>
        <w:t> </w:t>
        <w:tab/>
      </w:r>
      <w:r>
        <w:rPr>
          <w:w w:val="105"/>
        </w:rPr>
        <w:tab/>
      </w:r>
      <w:r>
        <w:rPr>
          <w:spacing w:val="-4"/>
          <w:w w:val="105"/>
        </w:rPr>
        <w:t>Signature:</w:t>
      </w:r>
      <w:r>
        <w:rPr>
          <w:w w:val="104"/>
          <w:u w:val="dotted"/>
        </w:rPr>
        <w:t> </w:t>
      </w:r>
      <w:r>
        <w:rPr>
          <w:u w:val="dotted"/>
        </w:rPr>
        <w:tab/>
      </w:r>
    </w:p>
    <w:p>
      <w:pPr>
        <w:pStyle w:val="BodyText"/>
        <w:spacing w:before="2"/>
        <w:ind w:left="0" w:firstLine="0"/>
        <w:rPr>
          <w:sz w:val="20"/>
        </w:rPr>
      </w:pPr>
    </w:p>
    <w:p>
      <w:pPr>
        <w:pStyle w:val="Heading1"/>
      </w:pPr>
      <w:r>
        <w:rPr>
          <w:w w:val="105"/>
        </w:rPr>
        <w:t>INSTRUCTIONS ON THIS</w:t>
      </w:r>
      <w:r>
        <w:rPr>
          <w:spacing w:val="-37"/>
          <w:w w:val="105"/>
        </w:rPr>
        <w:t> </w:t>
      </w:r>
      <w:r>
        <w:rPr>
          <w:w w:val="105"/>
        </w:rPr>
        <w:t>APPLICATION</w:t>
      </w:r>
    </w:p>
    <w:p>
      <w:pPr>
        <w:pStyle w:val="BodyText"/>
        <w:spacing w:before="2"/>
        <w:ind w:left="0" w:firstLine="0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49" w:lineRule="auto" w:before="0" w:after="0"/>
        <w:ind w:left="828" w:right="522" w:hanging="339"/>
        <w:jc w:val="left"/>
        <w:rPr>
          <w:sz w:val="18"/>
        </w:rPr>
      </w:pPr>
      <w:r>
        <w:rPr>
          <w:w w:val="105"/>
          <w:sz w:val="18"/>
        </w:rPr>
        <w:t>It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made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under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section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108(1D)</w:t>
      </w:r>
      <w:r>
        <w:rPr>
          <w:spacing w:val="-4"/>
          <w:w w:val="105"/>
          <w:sz w:val="18"/>
        </w:rPr>
        <w:t> </w:t>
      </w:r>
      <w:r>
        <w:rPr>
          <w:spacing w:val="-3"/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Companies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Act,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1956,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presumed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applicant and other parties to the transfer deed to be revalidated are fully aware of the contents and legal implications related to the matters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transfer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share. If should be complete in all respects and accompanied by necessary fees. Extension of validity will be provided for a specified period from the date of revaluation based on the contents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application. Responsibility for the truth, correctness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legal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validity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application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transfer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deeds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related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thereto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rests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entirely with the applicant and extension will be provided based on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this.</w:t>
      </w: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49" w:lineRule="auto" w:before="5" w:after="0"/>
        <w:ind w:left="828" w:right="790" w:hanging="339"/>
        <w:jc w:val="left"/>
        <w:rPr>
          <w:sz w:val="18"/>
        </w:rPr>
      </w:pPr>
      <w:r>
        <w:rPr>
          <w:w w:val="105"/>
          <w:sz w:val="18"/>
        </w:rPr>
        <w:t>Where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transferees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companies,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compliance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provisions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sections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49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372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(if applicable)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Act should be ensured by the applicants to the satisfaction of Registrar of companies.</w:t>
      </w: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40" w:lineRule="auto" w:before="2" w:after="12"/>
        <w:ind w:left="828" w:right="0" w:hanging="339"/>
        <w:jc w:val="left"/>
        <w:rPr>
          <w:sz w:val="18"/>
        </w:rPr>
      </w:pPr>
      <w:r>
        <w:rPr>
          <w:b/>
          <w:w w:val="105"/>
          <w:sz w:val="18"/>
        </w:rPr>
        <w:t>Payment of fees: </w:t>
      </w:r>
      <w:r>
        <w:rPr>
          <w:w w:val="105"/>
          <w:sz w:val="18"/>
        </w:rPr>
        <w:t>Table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fees per each transfer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deed.</w:t>
      </w:r>
    </w:p>
    <w:tbl>
      <w:tblPr>
        <w:tblW w:w="0" w:type="auto"/>
        <w:jc w:val="left"/>
        <w:tblInd w:w="3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4"/>
        <w:gridCol w:w="2157"/>
      </w:tblGrid>
      <w:tr>
        <w:trPr>
          <w:trHeight w:val="215" w:hRule="atLeast"/>
        </w:trPr>
        <w:tc>
          <w:tcPr>
            <w:tcW w:w="5854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Nominal face value of shares involved in the transfer deed</w:t>
            </w:r>
          </w:p>
        </w:tc>
        <w:tc>
          <w:tcPr>
            <w:tcW w:w="2157" w:type="dxa"/>
          </w:tcPr>
          <w:p>
            <w:pPr>
              <w:pStyle w:val="TableParagraph"/>
              <w:ind w:left="1129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Fee payable</w:t>
            </w:r>
          </w:p>
        </w:tc>
      </w:tr>
      <w:tr>
        <w:trPr>
          <w:trHeight w:val="431" w:hRule="atLeast"/>
        </w:trPr>
        <w:tc>
          <w:tcPr>
            <w:tcW w:w="5854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w w:val="105"/>
                <w:sz w:val="18"/>
              </w:rPr>
              <w:t>Up to Rs. 5,000</w:t>
            </w:r>
          </w:p>
          <w:p>
            <w:pPr>
              <w:pStyle w:val="TableParagraph"/>
              <w:spacing w:line="198" w:lineRule="exact" w:before="9"/>
              <w:rPr>
                <w:sz w:val="18"/>
              </w:rPr>
            </w:pPr>
            <w:r>
              <w:rPr>
                <w:w w:val="105"/>
                <w:sz w:val="18"/>
              </w:rPr>
              <w:t>Above Rs. 5.000</w:t>
            </w:r>
          </w:p>
        </w:tc>
        <w:tc>
          <w:tcPr>
            <w:tcW w:w="2157" w:type="dxa"/>
          </w:tcPr>
          <w:p>
            <w:pPr>
              <w:pStyle w:val="TableParagraph"/>
              <w:spacing w:line="204" w:lineRule="exact"/>
              <w:ind w:left="0" w:right="86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Rs.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25</w:t>
            </w:r>
          </w:p>
          <w:p>
            <w:pPr>
              <w:pStyle w:val="TableParagraph"/>
              <w:spacing w:line="198" w:lineRule="exact" w:before="9"/>
              <w:ind w:left="0" w:right="86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Rs.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50</w:t>
            </w:r>
          </w:p>
        </w:tc>
      </w:tr>
    </w:tbl>
    <w:p>
      <w:pPr>
        <w:pStyle w:val="BodyText"/>
        <w:tabs>
          <w:tab w:pos="2905" w:val="left" w:leader="none"/>
        </w:tabs>
        <w:spacing w:line="249" w:lineRule="auto" w:before="213"/>
        <w:ind w:left="490" w:right="690" w:firstLine="0"/>
        <w:jc w:val="both"/>
      </w:pPr>
      <w:r>
        <w:rPr>
          <w:i/>
          <w:w w:val="105"/>
        </w:rPr>
        <w:t>Mode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payment</w:t>
      </w:r>
      <w:r>
        <w:rPr>
          <w:i/>
          <w:spacing w:val="-4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amount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paid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cash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ROC’s</w:t>
      </w:r>
      <w:r>
        <w:rPr>
          <w:spacing w:val="-2"/>
          <w:w w:val="105"/>
        </w:rPr>
        <w:t> </w:t>
      </w:r>
      <w:r>
        <w:rPr>
          <w:w w:val="105"/>
        </w:rPr>
        <w:t>Office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Bank</w:t>
      </w:r>
      <w:r>
        <w:rPr>
          <w:spacing w:val="-4"/>
          <w:w w:val="105"/>
        </w:rPr>
        <w:t> </w:t>
      </w:r>
      <w:r>
        <w:rPr>
          <w:w w:val="105"/>
        </w:rPr>
        <w:t>DD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pay</w:t>
      </w:r>
      <w:r>
        <w:rPr>
          <w:spacing w:val="-7"/>
          <w:w w:val="105"/>
        </w:rPr>
        <w:t> </w:t>
      </w:r>
      <w:r>
        <w:rPr>
          <w:w w:val="105"/>
        </w:rPr>
        <w:t>order favouring</w:t>
      </w:r>
      <w:r>
        <w:rPr>
          <w:w w:val="105"/>
          <w:u w:val="dotted"/>
        </w:rPr>
        <w:t> </w:t>
        <w:tab/>
      </w:r>
      <w:r>
        <w:rPr>
          <w:w w:val="105"/>
        </w:rPr>
        <w:t>to be attached to the application. Particulars </w:t>
      </w:r>
      <w:r>
        <w:rPr>
          <w:spacing w:val="-3"/>
          <w:w w:val="105"/>
        </w:rPr>
        <w:t>of </w:t>
      </w:r>
      <w:r>
        <w:rPr>
          <w:w w:val="105"/>
        </w:rPr>
        <w:t>payment such as cash </w:t>
      </w:r>
      <w:r>
        <w:rPr>
          <w:spacing w:val="-3"/>
          <w:w w:val="105"/>
        </w:rPr>
        <w:t>or </w:t>
      </w:r>
      <w:r>
        <w:rPr>
          <w:w w:val="105"/>
        </w:rPr>
        <w:t>DD or pay order No. and to be furnished in column No. 10 </w:t>
      </w:r>
      <w:r>
        <w:rPr>
          <w:spacing w:val="-3"/>
          <w:w w:val="105"/>
        </w:rPr>
        <w:t>of </w:t>
      </w:r>
      <w:r>
        <w:rPr>
          <w:w w:val="105"/>
        </w:rPr>
        <w:t>the</w:t>
      </w:r>
      <w:r>
        <w:rPr>
          <w:spacing w:val="-23"/>
          <w:w w:val="105"/>
        </w:rPr>
        <w:t> </w:t>
      </w:r>
      <w:r>
        <w:rPr>
          <w:w w:val="105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52" w:lineRule="auto" w:before="2" w:after="0"/>
        <w:ind w:left="828" w:right="550" w:hanging="339"/>
        <w:jc w:val="left"/>
        <w:rPr>
          <w:sz w:val="18"/>
        </w:rPr>
      </w:pPr>
      <w:r>
        <w:rPr>
          <w:b/>
          <w:w w:val="105"/>
          <w:sz w:val="18"/>
        </w:rPr>
        <w:t>Attestation</w:t>
      </w:r>
      <w:r>
        <w:rPr>
          <w:w w:val="105"/>
          <w:sz w:val="18"/>
        </w:rPr>
        <w:t>:-- In case of transfer deeds requiring attestation (in cases like thumb impressions, marks, signature differences, etc.) the attestation may be done on the transfer deed itself by a Magistrate, Special Executive Magistrate, Notary Public or a similar authority holding a public office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authorised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seal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his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office,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member</w:t>
      </w:r>
      <w:r>
        <w:rPr>
          <w:spacing w:val="-3"/>
          <w:w w:val="105"/>
          <w:sz w:val="18"/>
        </w:rPr>
        <w:t> of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recognised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stock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Exchange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through whom the shares are sold or a manager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transferor’s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bank.</w:t>
      </w: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03" w:lineRule="exact" w:before="0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Applications can be lodged at the cash counters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offices of the registers of</w:t>
      </w:r>
      <w:r>
        <w:rPr>
          <w:spacing w:val="-28"/>
          <w:w w:val="105"/>
          <w:sz w:val="18"/>
        </w:rPr>
        <w:t> </w:t>
      </w:r>
      <w:r>
        <w:rPr>
          <w:w w:val="105"/>
          <w:sz w:val="18"/>
        </w:rPr>
        <w:t>Companies.]</w:t>
      </w:r>
    </w:p>
    <w:sectPr>
      <w:type w:val="continuous"/>
      <w:pgSz w:w="12240" w:h="15840"/>
      <w:pgMar w:top="126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8" w:hanging="339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8" w:hanging="339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828" w:hanging="339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39" w:right="2153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828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5" w:lineRule="exact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fm7c.doc</dc:title>
  <dcterms:created xsi:type="dcterms:W3CDTF">2020-09-15T10:41:31Z</dcterms:created>
  <dcterms:modified xsi:type="dcterms:W3CDTF">2020-09-15T10:41:31Z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