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98"/>
        <w:ind w:left="656"/>
      </w:pPr>
      <w:r>
        <w:rPr>
          <w:w w:val="105"/>
        </w:rPr>
        <w:t>FORM NO. 23AB</w:t>
      </w:r>
    </w:p>
    <w:p>
      <w:pPr>
        <w:spacing w:before="4"/>
        <w:ind w:left="654" w:right="668" w:firstLine="0"/>
        <w:jc w:val="center"/>
        <w:rPr>
          <w:i/>
          <w:sz w:val="18"/>
        </w:rPr>
      </w:pPr>
      <w:r>
        <w:rPr>
          <w:i/>
          <w:w w:val="105"/>
          <w:sz w:val="18"/>
        </w:rPr>
        <w:t>(See Rule 7A)</w:t>
      </w:r>
    </w:p>
    <w:p>
      <w:pPr>
        <w:pStyle w:val="Heading1"/>
        <w:spacing w:line="247" w:lineRule="auto" w:before="16"/>
        <w:ind w:left="657"/>
      </w:pPr>
      <w:r>
        <w:rPr>
          <w:w w:val="105"/>
        </w:rPr>
        <w:t>Statement contenting salient features of balance sheet and profit and loss account, etc. as per section 219(1)(b)(iv)</w:t>
      </w:r>
    </w:p>
    <w:p>
      <w:pPr>
        <w:spacing w:before="112"/>
        <w:ind w:left="657" w:right="665" w:firstLine="0"/>
        <w:jc w:val="center"/>
        <w:rPr>
          <w:i/>
          <w:sz w:val="18"/>
        </w:rPr>
      </w:pPr>
      <w:r>
        <w:rPr>
          <w:i/>
          <w:w w:val="105"/>
          <w:sz w:val="18"/>
        </w:rPr>
        <w:t>Form of Abridged Balance Sheet</w:t>
      </w:r>
    </w:p>
    <w:p>
      <w:pPr>
        <w:pStyle w:val="BodyText"/>
        <w:spacing w:before="126"/>
        <w:ind w:left="490"/>
        <w:rPr>
          <w:rFonts w:ascii="Arial" w:hAnsi="Arial"/>
        </w:rPr>
      </w:pPr>
      <w:r>
        <w:rPr>
          <w:rFonts w:ascii="Arial" w:hAnsi="Arial"/>
          <w:w w:val="105"/>
        </w:rPr>
        <w:t>Name of the Company …………………….</w:t>
      </w:r>
    </w:p>
    <w:p>
      <w:pPr>
        <w:pStyle w:val="Heading1"/>
        <w:spacing w:before="64"/>
        <w:rPr>
          <w:rFonts w:ascii="Arial" w:hAnsi="Arial"/>
        </w:rPr>
      </w:pPr>
      <w:r>
        <w:rPr>
          <w:rFonts w:ascii="Arial" w:hAnsi="Arial"/>
          <w:w w:val="105"/>
        </w:rPr>
        <w:t>Abridged balance sheet as at …………………</w:t>
      </w:r>
    </w:p>
    <w:p>
      <w:pPr>
        <w:pStyle w:val="BodyText"/>
        <w:spacing w:before="0"/>
        <w:ind w:left="0"/>
        <w:rPr>
          <w:rFonts w:ascii="Arial"/>
          <w:b/>
          <w:sz w:val="21"/>
        </w:rPr>
      </w:pPr>
      <w:r>
        <w:rPr/>
        <w:pict>
          <v:shape style="position:absolute;margin-left:105.480003pt;margin-top:14.056175pt;width:400.8pt;height:.75pt;mso-position-horizontal-relative:page;mso-position-vertical-relative:paragraph;z-index:-15728640;mso-wrap-distance-left:0;mso-wrap-distance-right:0" coordorigin="2110,281" coordsize="8016,15" path="m8090,281l8076,281,2110,281,2110,296,8076,296,8090,296,8090,281xm10126,281l8090,281,8090,296,10126,296,10126,281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tabs>
          <w:tab w:pos="6355" w:val="left" w:leader="none"/>
          <w:tab w:pos="6607" w:val="left" w:leader="none"/>
          <w:tab w:pos="8417" w:val="left" w:leader="none"/>
        </w:tabs>
        <w:spacing w:before="0"/>
        <w:ind w:left="2969"/>
      </w:pPr>
      <w:r>
        <w:rPr>
          <w:w w:val="105"/>
        </w:rPr>
        <w:t>Particulars</w:t>
        <w:tab/>
      </w:r>
      <w:r>
        <w:rPr>
          <w:w w:val="105"/>
          <w:u w:val="single"/>
        </w:rPr>
        <w:t> </w:t>
        <w:tab/>
        <w:t>Figures at the end</w:t>
      </w:r>
      <w:r>
        <w:rPr>
          <w:spacing w:val="-21"/>
          <w:w w:val="105"/>
          <w:u w:val="single"/>
        </w:rPr>
        <w:t> </w:t>
      </w:r>
      <w:r>
        <w:rPr>
          <w:w w:val="105"/>
          <w:u w:val="single"/>
        </w:rPr>
        <w:t>of</w:t>
      </w:r>
      <w:r>
        <w:rPr>
          <w:u w:val="single"/>
        </w:rPr>
        <w:tab/>
      </w:r>
    </w:p>
    <w:p>
      <w:pPr>
        <w:spacing w:after="0"/>
        <w:sectPr>
          <w:type w:val="continuous"/>
          <w:pgSz w:w="12240" w:h="15840"/>
          <w:pgMar w:top="1260" w:bottom="280" w:left="1720" w:right="1720"/>
        </w:sectPr>
      </w:pP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0"/>
        <w:ind w:left="0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013" w:val="left" w:leader="none"/>
          <w:tab w:pos="1014" w:val="left" w:leader="none"/>
        </w:tabs>
        <w:spacing w:line="240" w:lineRule="auto" w:before="143" w:after="0"/>
        <w:ind w:left="1013" w:right="0" w:hanging="524"/>
        <w:jc w:val="left"/>
        <w:rPr>
          <w:sz w:val="18"/>
        </w:rPr>
      </w:pPr>
      <w:r>
        <w:rPr/>
        <w:pict>
          <v:shape style="position:absolute;margin-left:105.480003pt;margin-top:-4.366925pt;width:401.05pt;height:.75pt;mso-position-horizontal-relative:page;mso-position-vertical-relative:paragraph;z-index:15729152" coordorigin="2110,-87" coordsize="8021,15" path="m8090,-87l8076,-87,2110,-87,2110,-73,8076,-73,8090,-73,8090,-87xm9115,-87l9103,-87,8090,-87,8090,-73,9103,-73,9115,-73,9115,-87xm10130,-87l9115,-87,9115,-73,10130,-73,10130,-87xe" filled="true" fillcolor="#000000" stroked="false">
            <v:path arrowok="t"/>
            <v:fill type="solid"/>
            <w10:wrap type="none"/>
          </v:shape>
        </w:pict>
      </w:r>
      <w:r>
        <w:rPr>
          <w:w w:val="105"/>
          <w:sz w:val="18"/>
        </w:rPr>
        <w:t>SOURCES OF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FUNDS</w:t>
      </w:r>
    </w:p>
    <w:p>
      <w:pPr>
        <w:pStyle w:val="ListParagraph"/>
        <w:numPr>
          <w:ilvl w:val="1"/>
          <w:numId w:val="1"/>
        </w:numPr>
        <w:tabs>
          <w:tab w:pos="1503" w:val="left" w:leader="none"/>
          <w:tab w:pos="1504" w:val="left" w:leader="none"/>
        </w:tabs>
        <w:spacing w:line="240" w:lineRule="auto" w:before="9" w:after="0"/>
        <w:ind w:left="1503" w:right="0" w:hanging="491"/>
        <w:jc w:val="left"/>
        <w:rPr>
          <w:sz w:val="18"/>
        </w:rPr>
      </w:pPr>
      <w:r>
        <w:rPr>
          <w:w w:val="105"/>
          <w:sz w:val="18"/>
        </w:rPr>
        <w:t>Shareholders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funds</w:t>
      </w:r>
    </w:p>
    <w:p>
      <w:pPr>
        <w:pStyle w:val="ListParagraph"/>
        <w:numPr>
          <w:ilvl w:val="2"/>
          <w:numId w:val="1"/>
        </w:numPr>
        <w:tabs>
          <w:tab w:pos="341" w:val="left" w:leader="none"/>
        </w:tabs>
        <w:spacing w:line="240" w:lineRule="auto" w:before="9" w:after="0"/>
        <w:ind w:left="1491" w:right="3825" w:hanging="1492"/>
        <w:jc w:val="right"/>
        <w:rPr>
          <w:sz w:val="18"/>
        </w:rPr>
      </w:pPr>
      <w:r>
        <w:rPr>
          <w:spacing w:val="-1"/>
          <w:sz w:val="18"/>
        </w:rPr>
        <w:t>Capital</w:t>
      </w:r>
    </w:p>
    <w:p>
      <w:pPr>
        <w:pStyle w:val="ListParagraph"/>
        <w:numPr>
          <w:ilvl w:val="3"/>
          <w:numId w:val="1"/>
        </w:numPr>
        <w:tabs>
          <w:tab w:pos="315" w:val="left" w:leader="none"/>
        </w:tabs>
        <w:spacing w:line="240" w:lineRule="auto" w:before="9" w:after="0"/>
        <w:ind w:left="1599" w:right="3754" w:hanging="1600"/>
        <w:jc w:val="right"/>
        <w:rPr>
          <w:sz w:val="18"/>
        </w:rPr>
      </w:pPr>
      <w:r>
        <w:rPr>
          <w:sz w:val="18"/>
        </w:rPr>
        <w:t>Equity</w:t>
      </w:r>
    </w:p>
    <w:p>
      <w:pPr>
        <w:pStyle w:val="ListParagraph"/>
        <w:numPr>
          <w:ilvl w:val="3"/>
          <w:numId w:val="1"/>
        </w:numPr>
        <w:tabs>
          <w:tab w:pos="1650" w:val="left" w:leader="none"/>
        </w:tabs>
        <w:spacing w:line="240" w:lineRule="auto" w:before="11" w:after="0"/>
        <w:ind w:left="1649" w:right="0" w:hanging="366"/>
        <w:jc w:val="left"/>
        <w:rPr>
          <w:sz w:val="18"/>
        </w:rPr>
      </w:pPr>
      <w:r>
        <w:rPr>
          <w:w w:val="105"/>
          <w:sz w:val="18"/>
        </w:rPr>
        <w:t>Preference</w:t>
      </w:r>
    </w:p>
    <w:p>
      <w:pPr>
        <w:pStyle w:val="ListParagraph"/>
        <w:numPr>
          <w:ilvl w:val="3"/>
          <w:numId w:val="1"/>
        </w:numPr>
        <w:tabs>
          <w:tab w:pos="1703" w:val="left" w:leader="none"/>
        </w:tabs>
        <w:spacing w:line="240" w:lineRule="auto" w:before="9" w:after="0"/>
        <w:ind w:left="1702" w:right="0" w:hanging="419"/>
        <w:jc w:val="left"/>
        <w:rPr>
          <w:sz w:val="18"/>
        </w:rPr>
      </w:pPr>
      <w:r>
        <w:rPr>
          <w:w w:val="105"/>
          <w:sz w:val="18"/>
        </w:rPr>
        <w:t>Reserves and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surplus</w:t>
      </w:r>
    </w:p>
    <w:p>
      <w:pPr>
        <w:pStyle w:val="ListParagraph"/>
        <w:numPr>
          <w:ilvl w:val="2"/>
          <w:numId w:val="1"/>
        </w:numPr>
        <w:tabs>
          <w:tab w:pos="1504" w:val="left" w:leader="none"/>
        </w:tabs>
        <w:spacing w:line="240" w:lineRule="auto" w:before="7" w:after="0"/>
        <w:ind w:left="1503" w:right="0" w:hanging="354"/>
        <w:jc w:val="left"/>
        <w:rPr>
          <w:sz w:val="18"/>
        </w:rPr>
      </w:pPr>
      <w:r>
        <w:rPr>
          <w:w w:val="105"/>
          <w:sz w:val="18"/>
        </w:rPr>
        <w:t>Reserves and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surplus</w:t>
      </w:r>
    </w:p>
    <w:p>
      <w:pPr>
        <w:pStyle w:val="ListParagraph"/>
        <w:numPr>
          <w:ilvl w:val="3"/>
          <w:numId w:val="1"/>
        </w:numPr>
        <w:tabs>
          <w:tab w:pos="1600" w:val="left" w:leader="none"/>
        </w:tabs>
        <w:spacing w:line="240" w:lineRule="auto" w:before="9" w:after="0"/>
        <w:ind w:left="1599" w:right="0" w:hanging="316"/>
        <w:jc w:val="left"/>
        <w:rPr>
          <w:sz w:val="18"/>
        </w:rPr>
      </w:pPr>
      <w:r>
        <w:rPr>
          <w:w w:val="105"/>
          <w:sz w:val="18"/>
        </w:rPr>
        <w:t>Capital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reserve</w:t>
      </w:r>
    </w:p>
    <w:p>
      <w:pPr>
        <w:pStyle w:val="ListParagraph"/>
        <w:numPr>
          <w:ilvl w:val="3"/>
          <w:numId w:val="1"/>
        </w:numPr>
        <w:tabs>
          <w:tab w:pos="1650" w:val="left" w:leader="none"/>
        </w:tabs>
        <w:spacing w:line="240" w:lineRule="auto" w:before="11" w:after="0"/>
        <w:ind w:left="1649" w:right="0" w:hanging="366"/>
        <w:jc w:val="left"/>
        <w:rPr>
          <w:sz w:val="18"/>
        </w:rPr>
      </w:pPr>
      <w:r>
        <w:rPr>
          <w:w w:val="105"/>
          <w:sz w:val="18"/>
        </w:rPr>
        <w:t>Revenue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reserve</w:t>
      </w:r>
    </w:p>
    <w:p>
      <w:pPr>
        <w:pStyle w:val="ListParagraph"/>
        <w:numPr>
          <w:ilvl w:val="3"/>
          <w:numId w:val="1"/>
        </w:numPr>
        <w:tabs>
          <w:tab w:pos="1703" w:val="left" w:leader="none"/>
        </w:tabs>
        <w:spacing w:line="240" w:lineRule="auto" w:before="9" w:after="0"/>
        <w:ind w:left="1702" w:right="0" w:hanging="419"/>
        <w:jc w:val="left"/>
        <w:rPr>
          <w:sz w:val="18"/>
        </w:rPr>
      </w:pPr>
      <w:r>
        <w:rPr>
          <w:w w:val="105"/>
          <w:sz w:val="18"/>
        </w:rPr>
        <w:t>Revaluation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reserve</w:t>
      </w:r>
    </w:p>
    <w:p>
      <w:pPr>
        <w:pStyle w:val="ListParagraph"/>
        <w:numPr>
          <w:ilvl w:val="3"/>
          <w:numId w:val="1"/>
        </w:numPr>
        <w:tabs>
          <w:tab w:pos="1691" w:val="left" w:leader="none"/>
        </w:tabs>
        <w:spacing w:line="240" w:lineRule="auto" w:before="9" w:after="0"/>
        <w:ind w:left="1690" w:right="0" w:hanging="407"/>
        <w:jc w:val="left"/>
        <w:rPr>
          <w:sz w:val="18"/>
        </w:rPr>
      </w:pPr>
      <w:r>
        <w:rPr>
          <w:w w:val="105"/>
          <w:sz w:val="18"/>
        </w:rPr>
        <w:t>Surplus in profit and loss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account</w:t>
      </w:r>
    </w:p>
    <w:p>
      <w:pPr>
        <w:pStyle w:val="ListParagraph"/>
        <w:numPr>
          <w:ilvl w:val="3"/>
          <w:numId w:val="1"/>
        </w:numPr>
        <w:tabs>
          <w:tab w:pos="1638" w:val="left" w:leader="none"/>
        </w:tabs>
        <w:spacing w:line="240" w:lineRule="auto" w:before="9" w:after="0"/>
        <w:ind w:left="1637" w:right="0" w:hanging="354"/>
        <w:jc w:val="left"/>
        <w:rPr>
          <w:sz w:val="18"/>
        </w:rPr>
      </w:pPr>
      <w:r>
        <w:rPr>
          <w:w w:val="105"/>
          <w:sz w:val="18"/>
        </w:rPr>
        <w:t>Share premium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reserve</w:t>
      </w:r>
    </w:p>
    <w:p>
      <w:pPr>
        <w:pStyle w:val="ListParagraph"/>
        <w:numPr>
          <w:ilvl w:val="3"/>
          <w:numId w:val="1"/>
        </w:numPr>
        <w:tabs>
          <w:tab w:pos="1691" w:val="left" w:leader="none"/>
        </w:tabs>
        <w:spacing w:line="240" w:lineRule="auto" w:before="9" w:after="0"/>
        <w:ind w:left="1690" w:right="0" w:hanging="407"/>
        <w:jc w:val="left"/>
        <w:rPr>
          <w:sz w:val="18"/>
        </w:rPr>
      </w:pPr>
      <w:r>
        <w:rPr>
          <w:w w:val="105"/>
          <w:sz w:val="18"/>
        </w:rPr>
        <w:t>Investment allowance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reserve]</w:t>
      </w:r>
    </w:p>
    <w:p>
      <w:pPr>
        <w:pStyle w:val="ListParagraph"/>
        <w:numPr>
          <w:ilvl w:val="1"/>
          <w:numId w:val="1"/>
        </w:numPr>
        <w:tabs>
          <w:tab w:pos="1503" w:val="left" w:leader="none"/>
          <w:tab w:pos="1504" w:val="left" w:leader="none"/>
        </w:tabs>
        <w:spacing w:line="240" w:lineRule="auto" w:before="9" w:after="0"/>
        <w:ind w:left="1503" w:right="0" w:hanging="491"/>
        <w:jc w:val="left"/>
        <w:rPr>
          <w:sz w:val="18"/>
        </w:rPr>
      </w:pPr>
      <w:r>
        <w:rPr>
          <w:w w:val="105"/>
          <w:sz w:val="18"/>
        </w:rPr>
        <w:t>Loan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funds</w:t>
      </w:r>
    </w:p>
    <w:p>
      <w:pPr>
        <w:pStyle w:val="ListParagraph"/>
        <w:numPr>
          <w:ilvl w:val="2"/>
          <w:numId w:val="1"/>
        </w:numPr>
        <w:tabs>
          <w:tab w:pos="1492" w:val="left" w:leader="none"/>
        </w:tabs>
        <w:spacing w:line="249" w:lineRule="auto" w:before="9" w:after="0"/>
        <w:ind w:left="1284" w:right="38" w:hanging="135"/>
        <w:jc w:val="left"/>
        <w:rPr>
          <w:sz w:val="18"/>
        </w:rPr>
      </w:pPr>
      <w:r>
        <w:rPr>
          <w:w w:val="105"/>
          <w:sz w:val="18"/>
        </w:rPr>
        <w:t>Debentures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(the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amount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convertible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/partly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convertible debentures indicating the date </w:t>
      </w:r>
      <w:r>
        <w:rPr>
          <w:spacing w:val="-3"/>
          <w:w w:val="105"/>
          <w:sz w:val="18"/>
        </w:rPr>
        <w:t>of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conversion]</w:t>
      </w:r>
    </w:p>
    <w:p>
      <w:pPr>
        <w:pStyle w:val="ListParagraph"/>
        <w:numPr>
          <w:ilvl w:val="2"/>
          <w:numId w:val="1"/>
        </w:numPr>
        <w:tabs>
          <w:tab w:pos="1504" w:val="left" w:leader="none"/>
        </w:tabs>
        <w:spacing w:line="240" w:lineRule="auto" w:before="4" w:after="0"/>
        <w:ind w:left="1503" w:right="0" w:hanging="354"/>
        <w:jc w:val="left"/>
        <w:rPr>
          <w:sz w:val="18"/>
        </w:rPr>
      </w:pPr>
      <w:r>
        <w:rPr>
          <w:w w:val="105"/>
          <w:sz w:val="18"/>
        </w:rPr>
        <w:t>Public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deposits</w:t>
      </w:r>
    </w:p>
    <w:p>
      <w:pPr>
        <w:pStyle w:val="ListParagraph"/>
        <w:numPr>
          <w:ilvl w:val="2"/>
          <w:numId w:val="1"/>
        </w:numPr>
        <w:tabs>
          <w:tab w:pos="1492" w:val="left" w:leader="none"/>
        </w:tabs>
        <w:spacing w:line="240" w:lineRule="auto" w:before="9" w:after="0"/>
        <w:ind w:left="1491" w:right="0" w:hanging="342"/>
        <w:jc w:val="left"/>
        <w:rPr>
          <w:sz w:val="18"/>
        </w:rPr>
      </w:pPr>
      <w:r>
        <w:rPr>
          <w:w w:val="105"/>
          <w:sz w:val="18"/>
        </w:rPr>
        <w:t>©Secured loans (other than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debentures)</w:t>
      </w:r>
    </w:p>
    <w:p>
      <w:pPr>
        <w:pStyle w:val="BodyText"/>
        <w:spacing w:line="252" w:lineRule="auto" w:before="23"/>
        <w:ind w:left="490" w:firstLine="2"/>
        <w:jc w:val="center"/>
      </w:pPr>
      <w:r>
        <w:rPr/>
        <w:br w:type="column"/>
      </w:r>
      <w:r>
        <w:rPr>
          <w:w w:val="105"/>
        </w:rPr>
        <w:t>Current </w:t>
      </w:r>
      <w:r>
        <w:rPr>
          <w:spacing w:val="-1"/>
          <w:w w:val="105"/>
        </w:rPr>
        <w:t>financial </w:t>
      </w:r>
      <w:r>
        <w:rPr>
          <w:w w:val="105"/>
        </w:rPr>
        <w:t>year</w:t>
      </w:r>
    </w:p>
    <w:p>
      <w:pPr>
        <w:pStyle w:val="BodyText"/>
        <w:spacing w:line="252" w:lineRule="auto" w:before="23"/>
        <w:ind w:left="332" w:right="573" w:hanging="1"/>
        <w:jc w:val="center"/>
      </w:pPr>
      <w:r>
        <w:rPr/>
        <w:br w:type="column"/>
      </w:r>
      <w:r>
        <w:rPr>
          <w:spacing w:val="-1"/>
          <w:w w:val="105"/>
        </w:rPr>
        <w:t>Previous financial </w:t>
      </w:r>
      <w:r>
        <w:rPr>
          <w:w w:val="105"/>
        </w:rPr>
        <w:t>year</w:t>
      </w:r>
    </w:p>
    <w:p>
      <w:pPr>
        <w:spacing w:after="0" w:line="252" w:lineRule="auto"/>
        <w:jc w:val="center"/>
        <w:sectPr>
          <w:type w:val="continuous"/>
          <w:pgSz w:w="12240" w:h="15840"/>
          <w:pgMar w:top="1260" w:bottom="280" w:left="1720" w:right="1720"/>
          <w:cols w:num="3" w:equalWidth="0">
            <w:col w:w="5860" w:space="188"/>
            <w:col w:w="1148" w:space="39"/>
            <w:col w:w="1565"/>
          </w:cols>
        </w:sectPr>
      </w:pPr>
    </w:p>
    <w:p>
      <w:pPr>
        <w:pStyle w:val="ListParagraph"/>
        <w:numPr>
          <w:ilvl w:val="2"/>
          <w:numId w:val="1"/>
        </w:numPr>
        <w:tabs>
          <w:tab w:pos="1504" w:val="left" w:leader="none"/>
          <w:tab w:pos="6355" w:val="left" w:leader="none"/>
          <w:tab w:pos="8452" w:val="left" w:leader="none"/>
        </w:tabs>
        <w:spacing w:line="266" w:lineRule="auto" w:before="7" w:after="0"/>
        <w:ind w:left="2909" w:right="345" w:hanging="1760"/>
        <w:jc w:val="left"/>
        <w:rPr>
          <w:sz w:val="18"/>
        </w:rPr>
      </w:pPr>
      <w:r>
        <w:rPr>
          <w:w w:val="105"/>
          <w:sz w:val="18"/>
        </w:rPr>
        <w:t>Unsecured</w:t>
      </w:r>
      <w:r>
        <w:rPr>
          <w:spacing w:val="-17"/>
          <w:w w:val="105"/>
          <w:sz w:val="18"/>
        </w:rPr>
        <w:t> </w:t>
      </w:r>
      <w:r>
        <w:rPr>
          <w:w w:val="105"/>
          <w:sz w:val="18"/>
        </w:rPr>
        <w:t>loans</w:t>
      </w:r>
      <w:r>
        <w:rPr>
          <w:sz w:val="18"/>
        </w:rPr>
        <w:tab/>
        <w:tab/>
      </w:r>
      <w:r>
        <w:rPr>
          <w:w w:val="104"/>
          <w:sz w:val="18"/>
          <w:u w:val="single"/>
        </w:rPr>
        <w:t> </w:t>
      </w:r>
      <w:r>
        <w:rPr>
          <w:sz w:val="18"/>
          <w:u w:val="single"/>
        </w:rPr>
        <w:tab/>
      </w:r>
      <w:r>
        <w:rPr>
          <w:sz w:val="18"/>
        </w:rPr>
        <w:t> </w:t>
      </w:r>
      <w:r>
        <w:rPr>
          <w:w w:val="105"/>
          <w:sz w:val="18"/>
        </w:rPr>
        <w:t>Total </w:t>
      </w:r>
      <w:r>
        <w:rPr>
          <w:spacing w:val="-3"/>
          <w:w w:val="105"/>
          <w:sz w:val="18"/>
        </w:rPr>
        <w:t>of </w:t>
      </w:r>
      <w:r>
        <w:rPr>
          <w:w w:val="105"/>
          <w:sz w:val="18"/>
        </w:rPr>
        <w:t>(1) and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(2)</w:t>
      </w:r>
      <w:r>
        <w:rPr>
          <w:sz w:val="18"/>
        </w:rPr>
        <w:tab/>
      </w:r>
      <w:r>
        <w:rPr>
          <w:w w:val="104"/>
          <w:sz w:val="18"/>
          <w:u w:val="single"/>
        </w:rPr>
        <w:t> </w:t>
      </w:r>
      <w:r>
        <w:rPr>
          <w:sz w:val="18"/>
          <w:u w:val="single"/>
        </w:rPr>
        <w:tab/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1"/>
        </w:numPr>
        <w:tabs>
          <w:tab w:pos="1013" w:val="left" w:leader="none"/>
          <w:tab w:pos="1014" w:val="left" w:leader="none"/>
        </w:tabs>
        <w:spacing w:line="240" w:lineRule="auto" w:before="0" w:after="0"/>
        <w:ind w:left="1013" w:right="0" w:hanging="524"/>
        <w:jc w:val="left"/>
        <w:rPr>
          <w:sz w:val="18"/>
        </w:rPr>
      </w:pPr>
      <w:r>
        <w:rPr>
          <w:w w:val="105"/>
          <w:sz w:val="18"/>
        </w:rPr>
        <w:t>APPLICATION OF</w:t>
      </w:r>
      <w:r>
        <w:rPr>
          <w:spacing w:val="1"/>
          <w:w w:val="105"/>
          <w:sz w:val="18"/>
        </w:rPr>
        <w:t> </w:t>
      </w:r>
      <w:r>
        <w:rPr>
          <w:w w:val="105"/>
          <w:sz w:val="18"/>
        </w:rPr>
        <w:t>FUNDS</w:t>
      </w:r>
    </w:p>
    <w:p>
      <w:pPr>
        <w:pStyle w:val="ListParagraph"/>
        <w:numPr>
          <w:ilvl w:val="1"/>
          <w:numId w:val="1"/>
        </w:numPr>
        <w:tabs>
          <w:tab w:pos="1503" w:val="left" w:leader="none"/>
          <w:tab w:pos="1504" w:val="left" w:leader="none"/>
        </w:tabs>
        <w:spacing w:line="240" w:lineRule="auto" w:before="9" w:after="0"/>
        <w:ind w:left="1503" w:right="0" w:hanging="491"/>
        <w:jc w:val="left"/>
        <w:rPr>
          <w:sz w:val="18"/>
        </w:rPr>
      </w:pPr>
      <w:r>
        <w:rPr>
          <w:w w:val="105"/>
          <w:sz w:val="18"/>
        </w:rPr>
        <w:t>Fixed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assets</w:t>
      </w:r>
    </w:p>
    <w:p>
      <w:pPr>
        <w:pStyle w:val="ListParagraph"/>
        <w:numPr>
          <w:ilvl w:val="2"/>
          <w:numId w:val="1"/>
        </w:numPr>
        <w:tabs>
          <w:tab w:pos="1696" w:val="left" w:leader="none"/>
          <w:tab w:pos="2854" w:val="left" w:leader="hyphen"/>
        </w:tabs>
        <w:spacing w:line="240" w:lineRule="auto" w:before="11" w:after="0"/>
        <w:ind w:left="1695" w:right="0" w:hanging="345"/>
        <w:jc w:val="left"/>
        <w:rPr>
          <w:sz w:val="18"/>
        </w:rPr>
      </w:pPr>
      <w:r>
        <w:rPr>
          <w:w w:val="105"/>
          <w:sz w:val="18"/>
        </w:rPr>
        <w:t>Net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block</w:t>
        <w:tab/>
        <w:t>(Original cost less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depreciation)</w:t>
      </w:r>
    </w:p>
    <w:p>
      <w:pPr>
        <w:pStyle w:val="ListParagraph"/>
        <w:numPr>
          <w:ilvl w:val="2"/>
          <w:numId w:val="1"/>
        </w:numPr>
        <w:tabs>
          <w:tab w:pos="1708" w:val="left" w:leader="none"/>
        </w:tabs>
        <w:spacing w:line="240" w:lineRule="auto" w:before="10" w:after="0"/>
        <w:ind w:left="1707" w:right="0" w:hanging="357"/>
        <w:jc w:val="left"/>
        <w:rPr>
          <w:sz w:val="18"/>
        </w:rPr>
      </w:pPr>
      <w:r>
        <w:rPr>
          <w:w w:val="105"/>
          <w:sz w:val="18"/>
        </w:rPr>
        <w:t>Capital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work-in-progress</w:t>
      </w:r>
    </w:p>
    <w:p>
      <w:pPr>
        <w:pStyle w:val="ListParagraph"/>
        <w:numPr>
          <w:ilvl w:val="1"/>
          <w:numId w:val="1"/>
        </w:numPr>
        <w:tabs>
          <w:tab w:pos="1503" w:val="left" w:leader="none"/>
          <w:tab w:pos="1504" w:val="left" w:leader="none"/>
        </w:tabs>
        <w:spacing w:line="240" w:lineRule="auto" w:before="9" w:after="0"/>
        <w:ind w:left="1503" w:right="0" w:hanging="491"/>
        <w:jc w:val="left"/>
        <w:rPr>
          <w:sz w:val="18"/>
        </w:rPr>
      </w:pPr>
      <w:r>
        <w:rPr>
          <w:w w:val="105"/>
          <w:sz w:val="18"/>
        </w:rPr>
        <w:t>Investments</w:t>
      </w:r>
    </w:p>
    <w:p>
      <w:pPr>
        <w:pStyle w:val="ListParagraph"/>
        <w:numPr>
          <w:ilvl w:val="2"/>
          <w:numId w:val="1"/>
        </w:numPr>
        <w:tabs>
          <w:tab w:pos="1696" w:val="left" w:leader="none"/>
        </w:tabs>
        <w:spacing w:line="240" w:lineRule="auto" w:before="9" w:after="0"/>
        <w:ind w:left="1695" w:right="0" w:hanging="345"/>
        <w:jc w:val="left"/>
        <w:rPr>
          <w:sz w:val="18"/>
        </w:rPr>
      </w:pPr>
      <w:r>
        <w:rPr>
          <w:w w:val="105"/>
          <w:sz w:val="18"/>
        </w:rPr>
        <w:t>Government securities</w:t>
      </w:r>
    </w:p>
    <w:p>
      <w:pPr>
        <w:pStyle w:val="ListParagraph"/>
        <w:numPr>
          <w:ilvl w:val="2"/>
          <w:numId w:val="1"/>
        </w:numPr>
        <w:tabs>
          <w:tab w:pos="1708" w:val="left" w:leader="none"/>
        </w:tabs>
        <w:spacing w:line="240" w:lineRule="auto" w:before="9" w:after="0"/>
        <w:ind w:left="1707" w:right="0" w:hanging="357"/>
        <w:jc w:val="left"/>
        <w:rPr>
          <w:sz w:val="18"/>
        </w:rPr>
      </w:pPr>
      <w:r>
        <w:rPr>
          <w:w w:val="105"/>
          <w:sz w:val="18"/>
        </w:rPr>
        <w:t>Investment in subsidiary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companies</w:t>
      </w:r>
    </w:p>
    <w:p>
      <w:pPr>
        <w:pStyle w:val="ListParagraph"/>
        <w:numPr>
          <w:ilvl w:val="3"/>
          <w:numId w:val="1"/>
        </w:numPr>
        <w:tabs>
          <w:tab w:pos="1801" w:val="left" w:leader="none"/>
        </w:tabs>
        <w:spacing w:line="240" w:lineRule="auto" w:before="9" w:after="0"/>
        <w:ind w:left="1800" w:right="0" w:hanging="313"/>
        <w:jc w:val="left"/>
        <w:rPr>
          <w:sz w:val="18"/>
        </w:rPr>
      </w:pPr>
      <w:r>
        <w:rPr>
          <w:w w:val="105"/>
          <w:sz w:val="18"/>
        </w:rPr>
        <w:t>Quoted</w:t>
      </w:r>
    </w:p>
    <w:p>
      <w:pPr>
        <w:pStyle w:val="ListParagraph"/>
        <w:numPr>
          <w:ilvl w:val="3"/>
          <w:numId w:val="1"/>
        </w:numPr>
        <w:tabs>
          <w:tab w:pos="1854" w:val="left" w:leader="none"/>
        </w:tabs>
        <w:spacing w:line="240" w:lineRule="auto" w:before="9" w:after="0"/>
        <w:ind w:left="1853" w:right="0" w:hanging="366"/>
        <w:jc w:val="left"/>
        <w:rPr>
          <w:sz w:val="18"/>
        </w:rPr>
      </w:pPr>
      <w:r>
        <w:rPr>
          <w:w w:val="105"/>
          <w:sz w:val="18"/>
        </w:rPr>
        <w:t>Unquoted</w:t>
      </w:r>
    </w:p>
    <w:p>
      <w:pPr>
        <w:pStyle w:val="ListParagraph"/>
        <w:numPr>
          <w:ilvl w:val="2"/>
          <w:numId w:val="1"/>
        </w:numPr>
        <w:tabs>
          <w:tab w:pos="1696" w:val="left" w:leader="none"/>
        </w:tabs>
        <w:spacing w:line="240" w:lineRule="auto" w:before="9" w:after="0"/>
        <w:ind w:left="1695" w:right="6501" w:hanging="1696"/>
        <w:jc w:val="right"/>
        <w:rPr>
          <w:sz w:val="18"/>
        </w:rPr>
      </w:pPr>
      <w:r>
        <w:rPr>
          <w:spacing w:val="-1"/>
          <w:sz w:val="18"/>
        </w:rPr>
        <w:t>©others</w:t>
      </w:r>
    </w:p>
    <w:p>
      <w:pPr>
        <w:pStyle w:val="ListParagraph"/>
        <w:numPr>
          <w:ilvl w:val="3"/>
          <w:numId w:val="1"/>
        </w:numPr>
        <w:tabs>
          <w:tab w:pos="312" w:val="left" w:leader="none"/>
        </w:tabs>
        <w:spacing w:line="240" w:lineRule="auto" w:before="11" w:after="0"/>
        <w:ind w:left="1800" w:right="6445" w:hanging="1801"/>
        <w:jc w:val="right"/>
        <w:rPr>
          <w:sz w:val="18"/>
        </w:rPr>
      </w:pPr>
      <w:r>
        <w:rPr>
          <w:spacing w:val="-1"/>
          <w:sz w:val="18"/>
        </w:rPr>
        <w:t>Quoted</w:t>
      </w:r>
    </w:p>
    <w:p>
      <w:pPr>
        <w:pStyle w:val="ListParagraph"/>
        <w:numPr>
          <w:ilvl w:val="3"/>
          <w:numId w:val="1"/>
        </w:numPr>
        <w:tabs>
          <w:tab w:pos="1854" w:val="left" w:leader="none"/>
        </w:tabs>
        <w:spacing w:line="240" w:lineRule="auto" w:before="7" w:after="0"/>
        <w:ind w:left="1853" w:right="0" w:hanging="366"/>
        <w:jc w:val="left"/>
        <w:rPr>
          <w:sz w:val="18"/>
        </w:rPr>
      </w:pPr>
      <w:r>
        <w:rPr>
          <w:w w:val="105"/>
          <w:sz w:val="18"/>
        </w:rPr>
        <w:t>Unquoted</w:t>
      </w:r>
    </w:p>
    <w:p>
      <w:pPr>
        <w:pStyle w:val="ListParagraph"/>
        <w:numPr>
          <w:ilvl w:val="1"/>
          <w:numId w:val="1"/>
        </w:numPr>
        <w:tabs>
          <w:tab w:pos="1503" w:val="left" w:leader="none"/>
          <w:tab w:pos="1504" w:val="left" w:leader="none"/>
        </w:tabs>
        <w:spacing w:line="240" w:lineRule="auto" w:before="9" w:after="0"/>
        <w:ind w:left="1503" w:right="0" w:hanging="491"/>
        <w:jc w:val="left"/>
        <w:rPr>
          <w:sz w:val="18"/>
        </w:rPr>
      </w:pPr>
      <w:r>
        <w:rPr>
          <w:w w:val="105"/>
          <w:sz w:val="18"/>
        </w:rPr>
        <w:t>(I) Current assets, loans and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advances</w:t>
      </w:r>
    </w:p>
    <w:p>
      <w:pPr>
        <w:pStyle w:val="ListParagraph"/>
        <w:numPr>
          <w:ilvl w:val="2"/>
          <w:numId w:val="1"/>
        </w:numPr>
        <w:tabs>
          <w:tab w:pos="1696" w:val="left" w:leader="none"/>
        </w:tabs>
        <w:spacing w:line="240" w:lineRule="auto" w:before="9" w:after="0"/>
        <w:ind w:left="1695" w:right="0" w:hanging="345"/>
        <w:jc w:val="left"/>
        <w:rPr>
          <w:sz w:val="18"/>
        </w:rPr>
      </w:pPr>
      <w:r>
        <w:rPr>
          <w:w w:val="105"/>
          <w:sz w:val="18"/>
        </w:rPr>
        <w:t>Inventories</w:t>
      </w:r>
    </w:p>
    <w:p>
      <w:pPr>
        <w:pStyle w:val="ListParagraph"/>
        <w:numPr>
          <w:ilvl w:val="2"/>
          <w:numId w:val="1"/>
        </w:numPr>
        <w:tabs>
          <w:tab w:pos="1708" w:val="left" w:leader="none"/>
        </w:tabs>
        <w:spacing w:line="240" w:lineRule="auto" w:before="11" w:after="0"/>
        <w:ind w:left="1707" w:right="0" w:hanging="357"/>
        <w:jc w:val="left"/>
        <w:rPr>
          <w:sz w:val="18"/>
        </w:rPr>
      </w:pPr>
      <w:r>
        <w:rPr>
          <w:w w:val="105"/>
          <w:sz w:val="18"/>
        </w:rPr>
        <w:t>Sundry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debtors</w:t>
      </w:r>
    </w:p>
    <w:p>
      <w:pPr>
        <w:pStyle w:val="ListParagraph"/>
        <w:numPr>
          <w:ilvl w:val="2"/>
          <w:numId w:val="1"/>
        </w:numPr>
        <w:tabs>
          <w:tab w:pos="1696" w:val="left" w:leader="none"/>
        </w:tabs>
        <w:spacing w:line="240" w:lineRule="auto" w:before="9" w:after="0"/>
        <w:ind w:left="1695" w:right="0" w:hanging="345"/>
        <w:jc w:val="left"/>
        <w:rPr>
          <w:sz w:val="18"/>
        </w:rPr>
      </w:pPr>
      <w:r>
        <w:rPr>
          <w:w w:val="105"/>
          <w:sz w:val="18"/>
        </w:rPr>
        <w:t>©Cash and bank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balances</w:t>
      </w:r>
    </w:p>
    <w:p>
      <w:pPr>
        <w:pStyle w:val="ListParagraph"/>
        <w:numPr>
          <w:ilvl w:val="2"/>
          <w:numId w:val="1"/>
        </w:numPr>
        <w:tabs>
          <w:tab w:pos="1708" w:val="left" w:leader="none"/>
        </w:tabs>
        <w:spacing w:line="240" w:lineRule="auto" w:before="9" w:after="0"/>
        <w:ind w:left="1707" w:right="0" w:hanging="357"/>
        <w:jc w:val="left"/>
        <w:rPr>
          <w:sz w:val="18"/>
        </w:rPr>
      </w:pPr>
      <w:r>
        <w:rPr>
          <w:w w:val="105"/>
          <w:sz w:val="18"/>
        </w:rPr>
        <w:t>other current</w:t>
      </w:r>
      <w:r>
        <w:rPr>
          <w:spacing w:val="1"/>
          <w:w w:val="105"/>
          <w:sz w:val="18"/>
        </w:rPr>
        <w:t> </w:t>
      </w:r>
      <w:r>
        <w:rPr>
          <w:w w:val="105"/>
          <w:sz w:val="18"/>
        </w:rPr>
        <w:t>assets</w:t>
      </w:r>
    </w:p>
    <w:p>
      <w:pPr>
        <w:pStyle w:val="ListParagraph"/>
        <w:numPr>
          <w:ilvl w:val="2"/>
          <w:numId w:val="1"/>
        </w:numPr>
        <w:tabs>
          <w:tab w:pos="1696" w:val="left" w:leader="none"/>
        </w:tabs>
        <w:spacing w:line="240" w:lineRule="auto" w:before="9" w:after="0"/>
        <w:ind w:left="1695" w:right="0" w:hanging="345"/>
        <w:jc w:val="left"/>
        <w:rPr>
          <w:sz w:val="18"/>
        </w:rPr>
      </w:pPr>
      <w:r>
        <w:rPr>
          <w:w w:val="105"/>
          <w:sz w:val="18"/>
        </w:rPr>
        <w:t>Loans and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advances</w:t>
      </w:r>
    </w:p>
    <w:p>
      <w:pPr>
        <w:pStyle w:val="ListParagraph"/>
        <w:numPr>
          <w:ilvl w:val="3"/>
          <w:numId w:val="1"/>
        </w:numPr>
        <w:tabs>
          <w:tab w:pos="1801" w:val="left" w:leader="none"/>
        </w:tabs>
        <w:spacing w:line="240" w:lineRule="auto" w:before="9" w:after="0"/>
        <w:ind w:left="1800" w:right="0" w:hanging="313"/>
        <w:jc w:val="left"/>
        <w:rPr>
          <w:sz w:val="18"/>
        </w:rPr>
      </w:pPr>
      <w:r>
        <w:rPr>
          <w:w w:val="105"/>
          <w:sz w:val="18"/>
        </w:rPr>
        <w:t>To subsidiary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companies</w:t>
      </w:r>
    </w:p>
    <w:p>
      <w:pPr>
        <w:pStyle w:val="ListParagraph"/>
        <w:numPr>
          <w:ilvl w:val="3"/>
          <w:numId w:val="1"/>
        </w:numPr>
        <w:tabs>
          <w:tab w:pos="1854" w:val="left" w:leader="none"/>
        </w:tabs>
        <w:spacing w:line="240" w:lineRule="auto" w:before="9" w:after="0"/>
        <w:ind w:left="1853" w:right="0" w:hanging="366"/>
        <w:jc w:val="left"/>
        <w:rPr>
          <w:sz w:val="18"/>
        </w:rPr>
      </w:pPr>
      <w:r>
        <w:rPr>
          <w:w w:val="105"/>
          <w:sz w:val="18"/>
        </w:rPr>
        <w:t>To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others</w:t>
      </w: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0"/>
        <w:ind w:left="0"/>
        <w:rPr>
          <w:sz w:val="22"/>
        </w:rPr>
      </w:pPr>
    </w:p>
    <w:p>
      <w:pPr>
        <w:spacing w:before="151"/>
        <w:ind w:left="1013" w:right="0" w:firstLine="0"/>
        <w:jc w:val="left"/>
        <w:rPr>
          <w:i/>
          <w:sz w:val="18"/>
        </w:rPr>
      </w:pPr>
      <w:r>
        <w:rPr>
          <w:i/>
          <w:w w:val="105"/>
          <w:sz w:val="18"/>
        </w:rPr>
        <w:t>Less: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top="1260" w:bottom="280" w:left="1720" w:right="1720"/>
        </w:sectPr>
      </w:pPr>
    </w:p>
    <w:p>
      <w:pPr>
        <w:pStyle w:val="ListParagraph"/>
        <w:numPr>
          <w:ilvl w:val="0"/>
          <w:numId w:val="2"/>
        </w:numPr>
        <w:tabs>
          <w:tab w:pos="1288" w:val="left" w:leader="none"/>
        </w:tabs>
        <w:spacing w:line="240" w:lineRule="auto" w:before="93" w:after="0"/>
        <w:ind w:left="1287" w:right="0" w:hanging="275"/>
        <w:jc w:val="left"/>
        <w:rPr>
          <w:sz w:val="18"/>
        </w:rPr>
      </w:pPr>
      <w:r>
        <w:rPr>
          <w:w w:val="105"/>
          <w:sz w:val="18"/>
        </w:rPr>
        <w:t>Current liabilities and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provisions</w:t>
      </w:r>
    </w:p>
    <w:p>
      <w:pPr>
        <w:pStyle w:val="ListParagraph"/>
        <w:numPr>
          <w:ilvl w:val="1"/>
          <w:numId w:val="2"/>
        </w:numPr>
        <w:tabs>
          <w:tab w:pos="1696" w:val="left" w:leader="none"/>
        </w:tabs>
        <w:spacing w:line="240" w:lineRule="auto" w:before="9" w:after="0"/>
        <w:ind w:left="1695" w:right="0" w:hanging="345"/>
        <w:jc w:val="left"/>
        <w:rPr>
          <w:sz w:val="18"/>
        </w:rPr>
      </w:pPr>
      <w:r>
        <w:rPr>
          <w:w w:val="105"/>
          <w:sz w:val="18"/>
        </w:rPr>
        <w:t>Liabilities</w:t>
      </w:r>
    </w:p>
    <w:p>
      <w:pPr>
        <w:pStyle w:val="ListParagraph"/>
        <w:numPr>
          <w:ilvl w:val="1"/>
          <w:numId w:val="2"/>
        </w:numPr>
        <w:tabs>
          <w:tab w:pos="1708" w:val="left" w:leader="none"/>
        </w:tabs>
        <w:spacing w:line="240" w:lineRule="auto" w:before="9" w:after="0"/>
        <w:ind w:left="1707" w:right="0" w:hanging="357"/>
        <w:jc w:val="left"/>
        <w:rPr>
          <w:sz w:val="18"/>
        </w:rPr>
      </w:pPr>
      <w:r>
        <w:rPr>
          <w:w w:val="105"/>
          <w:sz w:val="18"/>
        </w:rPr>
        <w:t>Provisions</w:t>
      </w:r>
    </w:p>
    <w:p>
      <w:pPr>
        <w:pStyle w:val="BodyText"/>
        <w:spacing w:before="7"/>
      </w:pPr>
      <w:r>
        <w:rPr>
          <w:w w:val="105"/>
        </w:rPr>
        <w:t>Net current assets (I—ii)</w:t>
      </w:r>
    </w:p>
    <w:p>
      <w:pPr>
        <w:pStyle w:val="ListParagraph"/>
        <w:numPr>
          <w:ilvl w:val="0"/>
          <w:numId w:val="3"/>
        </w:numPr>
        <w:tabs>
          <w:tab w:pos="1503" w:val="left" w:leader="none"/>
          <w:tab w:pos="1504" w:val="left" w:leader="none"/>
        </w:tabs>
        <w:spacing w:line="249" w:lineRule="auto" w:before="11" w:after="0"/>
        <w:ind w:left="1351" w:right="2962" w:hanging="339"/>
        <w:jc w:val="left"/>
        <w:rPr>
          <w:sz w:val="18"/>
        </w:rPr>
      </w:pPr>
      <w:r>
        <w:rPr/>
        <w:tab/>
      </w:r>
      <w:r>
        <w:rPr>
          <w:w w:val="105"/>
          <w:sz w:val="18"/>
        </w:rPr>
        <w:t>Miscellaneous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expenditure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extent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not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written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off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or adjusted</w:t>
      </w:r>
    </w:p>
    <w:p>
      <w:pPr>
        <w:pStyle w:val="ListParagraph"/>
        <w:numPr>
          <w:ilvl w:val="0"/>
          <w:numId w:val="3"/>
        </w:numPr>
        <w:tabs>
          <w:tab w:pos="1503" w:val="left" w:leader="none"/>
          <w:tab w:pos="1504" w:val="left" w:leader="none"/>
        </w:tabs>
        <w:spacing w:line="266" w:lineRule="auto" w:before="2" w:after="0"/>
        <w:ind w:left="1013" w:right="5579" w:firstLine="0"/>
        <w:jc w:val="left"/>
        <w:rPr>
          <w:sz w:val="18"/>
        </w:rPr>
      </w:pPr>
      <w:r>
        <w:rPr/>
        <w:pict>
          <v:shape style="position:absolute;margin-left:403.800018pt;margin-top:11.023064pt;width:102.75pt;height:.6pt;mso-position-horizontal-relative:page;mso-position-vertical-relative:paragraph;z-index:15731200" coordorigin="8076,220" coordsize="2055,12" path="m9115,220l9103,220,8076,220,8076,232,9103,232,9115,232,9115,220xm10130,220l9115,220,9115,232,10130,232,10130,220xe" filled="true" fillcolor="#000000" stroked="false">
            <v:path arrowok="t"/>
            <v:fill type="solid"/>
            <w10:wrap type="none"/>
          </v:shape>
        </w:pict>
      </w:r>
      <w:r>
        <w:rPr>
          <w:w w:val="105"/>
          <w:sz w:val="18"/>
        </w:rPr>
        <w:t>Profit and loss</w:t>
      </w:r>
      <w:r>
        <w:rPr>
          <w:spacing w:val="-21"/>
          <w:w w:val="105"/>
          <w:sz w:val="18"/>
        </w:rPr>
        <w:t> </w:t>
      </w:r>
      <w:r>
        <w:rPr>
          <w:w w:val="105"/>
          <w:sz w:val="18"/>
        </w:rPr>
        <w:t>account Total of 1 to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5</w:t>
      </w:r>
    </w:p>
    <w:p>
      <w:pPr>
        <w:pStyle w:val="BodyText"/>
        <w:spacing w:line="20" w:lineRule="exact" w:before="0"/>
        <w:ind w:left="6356"/>
        <w:rPr>
          <w:sz w:val="2"/>
        </w:rPr>
      </w:pPr>
      <w:r>
        <w:rPr>
          <w:sz w:val="2"/>
        </w:rPr>
        <w:pict>
          <v:group style="width:102.75pt;height:.6pt;mso-position-horizontal-relative:char;mso-position-vertical-relative:line" coordorigin="0,0" coordsize="2055,12">
            <v:shape style="position:absolute;left:0;top:0;width:2055;height:12" coordorigin="0,0" coordsize="2055,12" path="m1039,0l1027,0,0,0,0,12,1027,12,1039,12,1039,0xm2054,0l1039,0,1039,12,2054,12,2054,0xe" filled="true" fillcolor="#000000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ind w:left="0"/>
        <w:rPr>
          <w:sz w:val="17"/>
        </w:rPr>
      </w:pPr>
    </w:p>
    <w:p>
      <w:pPr>
        <w:pStyle w:val="Heading1"/>
        <w:ind w:left="1013" w:right="0"/>
        <w:jc w:val="left"/>
      </w:pPr>
      <w:r>
        <w:rPr/>
        <w:pict>
          <v:shape style="position:absolute;margin-left:105.480003pt;margin-top:65.883057pt;width:401.05pt;height:.75pt;mso-position-horizontal-relative:page;mso-position-vertical-relative:paragraph;z-index:15731712" coordorigin="2110,1318" coordsize="8021,15" path="m2647,1318l2635,1318,2110,1318,2110,1332,2635,1332,2647,1332,2647,1318xm8090,1318l8076,1318,2647,1318,2647,1332,8076,1332,8090,1332,8090,1318xm9115,1318l9103,1318,8090,1318,8090,1332,9103,1332,9115,1332,9115,1318xm10130,1318l9115,1318,9115,1332,10130,1332,10130,1318xe" filled="true" fillcolor="#000000" stroked="false">
            <v:path arrowok="t"/>
            <v:fill type="solid"/>
            <w10:wrap type="none"/>
          </v:shape>
        </w:pict>
      </w:r>
      <w:r>
        <w:rPr>
          <w:w w:val="105"/>
        </w:rPr>
        <w:t>Abridged profit and loss account for the year ending …………….</w:t>
      </w:r>
    </w:p>
    <w:p>
      <w:pPr>
        <w:pStyle w:val="BodyText"/>
        <w:spacing w:before="8"/>
        <w:ind w:left="0"/>
        <w:rPr>
          <w:b/>
          <w:sz w:val="15"/>
        </w:rPr>
      </w:pPr>
      <w:r>
        <w:rPr/>
        <w:pict>
          <v:shape style="position:absolute;margin-left:105.480003pt;margin-top:11.019976pt;width:400.8pt;height:.75pt;mso-position-horizontal-relative:page;mso-position-vertical-relative:paragraph;z-index:-15727104;mso-wrap-distance-left:0;mso-wrap-distance-right:0" coordorigin="2110,220" coordsize="8016,15" path="m2647,220l2635,220,2110,220,2110,235,2635,235,2647,235,2647,220xm8090,220l8076,220,2647,220,2647,235,8076,235,8090,235,8090,220xm9115,220l9103,220,8090,220,8090,235,9103,235,9115,235,9115,220xm10126,220l9115,220,9115,235,10126,235,10126,220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tabs>
          <w:tab w:pos="6355" w:val="left" w:leader="none"/>
          <w:tab w:pos="6607" w:val="left" w:leader="none"/>
          <w:tab w:pos="8417" w:val="left" w:leader="none"/>
        </w:tabs>
        <w:spacing w:before="0"/>
        <w:ind w:left="2969"/>
      </w:pPr>
      <w:r>
        <w:rPr>
          <w:w w:val="105"/>
        </w:rPr>
        <w:t>Particulars</w:t>
        <w:tab/>
      </w:r>
      <w:r>
        <w:rPr>
          <w:w w:val="105"/>
          <w:u w:val="single"/>
        </w:rPr>
        <w:t> </w:t>
        <w:tab/>
        <w:t>Figures at the end</w:t>
      </w:r>
      <w:r>
        <w:rPr>
          <w:spacing w:val="-21"/>
          <w:w w:val="105"/>
          <w:u w:val="single"/>
        </w:rPr>
        <w:t> </w:t>
      </w:r>
      <w:r>
        <w:rPr>
          <w:w w:val="105"/>
          <w:u w:val="single"/>
        </w:rPr>
        <w:t>of</w:t>
      </w:r>
      <w:r>
        <w:rPr>
          <w:u w:val="single"/>
        </w:rPr>
        <w:tab/>
      </w:r>
    </w:p>
    <w:p>
      <w:pPr>
        <w:spacing w:after="0"/>
        <w:sectPr>
          <w:pgSz w:w="12240" w:h="15840"/>
          <w:pgMar w:top="1260" w:bottom="280" w:left="1720" w:right="1720"/>
        </w:sectPr>
      </w:pP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0"/>
        <w:ind w:left="0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1013" w:val="left" w:leader="none"/>
          <w:tab w:pos="1014" w:val="left" w:leader="none"/>
        </w:tabs>
        <w:spacing w:line="240" w:lineRule="auto" w:before="180" w:after="0"/>
        <w:ind w:left="1013" w:right="0" w:hanging="524"/>
        <w:jc w:val="left"/>
        <w:rPr>
          <w:sz w:val="18"/>
        </w:rPr>
      </w:pPr>
      <w:r>
        <w:rPr>
          <w:w w:val="105"/>
          <w:sz w:val="18"/>
        </w:rPr>
        <w:t>Income</w:t>
      </w:r>
    </w:p>
    <w:p>
      <w:pPr>
        <w:pStyle w:val="ListParagraph"/>
        <w:numPr>
          <w:ilvl w:val="1"/>
          <w:numId w:val="4"/>
        </w:numPr>
        <w:tabs>
          <w:tab w:pos="1351" w:val="left" w:leader="none"/>
          <w:tab w:pos="1352" w:val="left" w:leader="none"/>
        </w:tabs>
        <w:spacing w:line="252" w:lineRule="auto" w:before="8" w:after="0"/>
        <w:ind w:left="1351" w:right="38" w:hanging="339"/>
        <w:jc w:val="left"/>
        <w:rPr>
          <w:sz w:val="18"/>
        </w:rPr>
      </w:pPr>
      <w:r>
        <w:rPr>
          <w:w w:val="105"/>
          <w:sz w:val="18"/>
        </w:rPr>
        <w:t>Sales/services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rendered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(Details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be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given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separately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as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per Annexure)</w:t>
      </w:r>
    </w:p>
    <w:p>
      <w:pPr>
        <w:pStyle w:val="ListParagraph"/>
        <w:numPr>
          <w:ilvl w:val="1"/>
          <w:numId w:val="4"/>
        </w:numPr>
        <w:tabs>
          <w:tab w:pos="1351" w:val="left" w:leader="none"/>
          <w:tab w:pos="1352" w:val="left" w:leader="none"/>
        </w:tabs>
        <w:spacing w:line="240" w:lineRule="auto" w:before="0" w:after="0"/>
        <w:ind w:left="1352" w:right="0" w:hanging="339"/>
        <w:jc w:val="left"/>
        <w:rPr>
          <w:sz w:val="18"/>
        </w:rPr>
      </w:pPr>
      <w:r>
        <w:rPr>
          <w:w w:val="105"/>
          <w:sz w:val="18"/>
        </w:rPr>
        <w:t>Dividend</w:t>
      </w:r>
    </w:p>
    <w:p>
      <w:pPr>
        <w:pStyle w:val="ListParagraph"/>
        <w:numPr>
          <w:ilvl w:val="1"/>
          <w:numId w:val="4"/>
        </w:numPr>
        <w:tabs>
          <w:tab w:pos="1351" w:val="left" w:leader="none"/>
          <w:tab w:pos="1352" w:val="left" w:leader="none"/>
        </w:tabs>
        <w:spacing w:line="240" w:lineRule="auto" w:before="7" w:after="0"/>
        <w:ind w:left="1352" w:right="0" w:hanging="339"/>
        <w:jc w:val="left"/>
        <w:rPr>
          <w:sz w:val="18"/>
        </w:rPr>
      </w:pPr>
      <w:r>
        <w:rPr>
          <w:w w:val="105"/>
          <w:sz w:val="18"/>
        </w:rPr>
        <w:t>Interest</w:t>
      </w:r>
    </w:p>
    <w:p>
      <w:pPr>
        <w:pStyle w:val="ListParagraph"/>
        <w:numPr>
          <w:ilvl w:val="1"/>
          <w:numId w:val="4"/>
        </w:numPr>
        <w:tabs>
          <w:tab w:pos="1351" w:val="left" w:leader="none"/>
          <w:tab w:pos="1352" w:val="left" w:leader="none"/>
        </w:tabs>
        <w:spacing w:line="252" w:lineRule="auto" w:before="10" w:after="0"/>
        <w:ind w:left="1013" w:right="2596" w:firstLine="0"/>
        <w:jc w:val="left"/>
        <w:rPr>
          <w:sz w:val="18"/>
        </w:rPr>
      </w:pPr>
      <w:r>
        <w:rPr>
          <w:w w:val="105"/>
          <w:sz w:val="18"/>
        </w:rPr>
        <w:t>Other income (See Note</w:t>
      </w:r>
      <w:r>
        <w:rPr>
          <w:spacing w:val="-24"/>
          <w:w w:val="105"/>
          <w:sz w:val="18"/>
        </w:rPr>
        <w:t> </w:t>
      </w:r>
      <w:r>
        <w:rPr>
          <w:w w:val="105"/>
          <w:sz w:val="18"/>
        </w:rPr>
        <w:t>5) Total</w:t>
      </w:r>
    </w:p>
    <w:p>
      <w:pPr>
        <w:pStyle w:val="ListParagraph"/>
        <w:numPr>
          <w:ilvl w:val="0"/>
          <w:numId w:val="5"/>
        </w:numPr>
        <w:tabs>
          <w:tab w:pos="1013" w:val="left" w:leader="none"/>
          <w:tab w:pos="1014" w:val="left" w:leader="none"/>
        </w:tabs>
        <w:spacing w:line="240" w:lineRule="auto" w:before="10" w:after="0"/>
        <w:ind w:left="1013" w:right="0" w:hanging="524"/>
        <w:jc w:val="left"/>
        <w:rPr>
          <w:i/>
          <w:sz w:val="18"/>
        </w:rPr>
      </w:pPr>
      <w:r>
        <w:rPr>
          <w:i/>
          <w:w w:val="105"/>
          <w:sz w:val="18"/>
        </w:rPr>
        <w:t>Expenditure</w:t>
      </w:r>
    </w:p>
    <w:p>
      <w:pPr>
        <w:pStyle w:val="BodyText"/>
        <w:spacing w:before="24"/>
      </w:pPr>
      <w:r>
        <w:rPr>
          <w:w w:val="105"/>
        </w:rPr>
        <w:t>Cost of goods consumed/sold</w:t>
      </w:r>
    </w:p>
    <w:p>
      <w:pPr>
        <w:pStyle w:val="ListParagraph"/>
        <w:numPr>
          <w:ilvl w:val="1"/>
          <w:numId w:val="5"/>
        </w:numPr>
        <w:tabs>
          <w:tab w:pos="1336" w:val="left" w:leader="none"/>
        </w:tabs>
        <w:spacing w:line="240" w:lineRule="auto" w:before="9" w:after="0"/>
        <w:ind w:left="1335" w:right="0" w:hanging="323"/>
        <w:jc w:val="left"/>
        <w:rPr>
          <w:sz w:val="18"/>
        </w:rPr>
      </w:pPr>
      <w:r>
        <w:rPr>
          <w:w w:val="105"/>
          <w:sz w:val="18"/>
        </w:rPr>
        <w:t>opening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stock</w:t>
      </w:r>
    </w:p>
    <w:p>
      <w:pPr>
        <w:pStyle w:val="ListParagraph"/>
        <w:numPr>
          <w:ilvl w:val="1"/>
          <w:numId w:val="5"/>
        </w:numPr>
        <w:tabs>
          <w:tab w:pos="1386" w:val="left" w:leader="none"/>
        </w:tabs>
        <w:spacing w:line="266" w:lineRule="auto" w:before="9" w:after="0"/>
        <w:ind w:left="1013" w:right="3486" w:firstLine="0"/>
        <w:jc w:val="left"/>
        <w:rPr>
          <w:sz w:val="18"/>
        </w:rPr>
      </w:pPr>
      <w:r>
        <w:rPr/>
        <w:pict>
          <v:rect style="position:absolute;margin-left:330.239990pt;margin-top:11.252194pt;width:73.559998pt;height:.719971pt;mso-position-horizontal-relative:page;mso-position-vertical-relative:paragraph;z-index:15733248" filled="true" fillcolor="#000000" stroked="false">
            <v:fill type="solid"/>
            <w10:wrap type="none"/>
          </v:rect>
        </w:pict>
      </w:r>
      <w:r>
        <w:rPr/>
        <w:pict>
          <v:rect style="position:absolute;margin-left:330.239990pt;margin-top:22.772194pt;width:73.559998pt;height:.719971pt;mso-position-horizontal-relative:page;mso-position-vertical-relative:paragraph;z-index:15733760" filled="true" fillcolor="#000000" stroked="false">
            <v:fill type="solid"/>
            <w10:wrap type="none"/>
          </v:rect>
        </w:pict>
      </w:r>
      <w:r>
        <w:rPr>
          <w:w w:val="105"/>
          <w:sz w:val="18"/>
        </w:rPr>
        <w:t>Purchases Less: Closing</w:t>
      </w:r>
      <w:r>
        <w:rPr>
          <w:spacing w:val="-17"/>
          <w:w w:val="105"/>
          <w:sz w:val="18"/>
        </w:rPr>
        <w:t> </w:t>
      </w:r>
      <w:r>
        <w:rPr>
          <w:w w:val="105"/>
          <w:sz w:val="18"/>
        </w:rPr>
        <w:t>stock</w:t>
      </w:r>
    </w:p>
    <w:p>
      <w:pPr>
        <w:pStyle w:val="BodyText"/>
        <w:spacing w:before="10"/>
        <w:ind w:left="0"/>
      </w:pPr>
    </w:p>
    <w:p>
      <w:pPr>
        <w:pStyle w:val="BodyText"/>
        <w:spacing w:line="249" w:lineRule="auto" w:before="0"/>
        <w:ind w:right="2592"/>
      </w:pPr>
      <w:r>
        <w:rPr>
          <w:w w:val="105"/>
        </w:rPr>
        <w:t>Manufacturing expenses Selling expenses</w:t>
      </w:r>
    </w:p>
    <w:p>
      <w:pPr>
        <w:pStyle w:val="BodyText"/>
        <w:spacing w:line="254" w:lineRule="auto" w:before="2"/>
        <w:ind w:left="1299" w:right="1679" w:hanging="286"/>
      </w:pPr>
      <w:r>
        <w:rPr>
          <w:w w:val="105"/>
        </w:rPr>
        <w:t>Salaries, wages and other employee benefits managerial remuneration</w:t>
      </w:r>
    </w:p>
    <w:p>
      <w:pPr>
        <w:pStyle w:val="BodyText"/>
        <w:spacing w:line="247" w:lineRule="auto" w:before="0"/>
        <w:ind w:right="3484"/>
      </w:pPr>
      <w:r>
        <w:rPr>
          <w:w w:val="105"/>
        </w:rPr>
        <w:t>Interest </w:t>
      </w:r>
      <w:r>
        <w:rPr/>
        <w:t>Depreciation</w:t>
      </w:r>
    </w:p>
    <w:p>
      <w:pPr>
        <w:pStyle w:val="BodyText"/>
        <w:spacing w:before="0"/>
      </w:pPr>
      <w:r>
        <w:rPr>
          <w:w w:val="105"/>
        </w:rPr>
        <w:t>Auditor’s remuneration</w:t>
      </w:r>
    </w:p>
    <w:p>
      <w:pPr>
        <w:pStyle w:val="BodyText"/>
        <w:spacing w:before="10"/>
      </w:pPr>
      <w:r>
        <w:rPr>
          <w:w w:val="105"/>
        </w:rPr>
        <w:t>Provisions for (I) Doubtful debts; and</w:t>
      </w:r>
    </w:p>
    <w:p>
      <w:pPr>
        <w:pStyle w:val="BodyText"/>
        <w:spacing w:line="266" w:lineRule="auto"/>
        <w:ind w:right="503" w:firstLine="1082"/>
      </w:pPr>
      <w:r>
        <w:rPr>
          <w:w w:val="105"/>
        </w:rPr>
        <w:t>(ii) Other contingencies (to be specified) Any other expenses (See Note 5)</w:t>
      </w:r>
    </w:p>
    <w:p>
      <w:pPr>
        <w:pStyle w:val="BodyText"/>
        <w:spacing w:before="1"/>
        <w:ind w:left="3435"/>
      </w:pPr>
      <w:r>
        <w:rPr>
          <w:w w:val="105"/>
        </w:rPr>
        <w:t>Total</w:t>
      </w:r>
    </w:p>
    <w:p>
      <w:pPr>
        <w:pStyle w:val="BodyText"/>
        <w:spacing w:line="252" w:lineRule="auto" w:before="23"/>
        <w:ind w:left="490" w:firstLine="2"/>
        <w:jc w:val="center"/>
      </w:pPr>
      <w:r>
        <w:rPr/>
        <w:br w:type="column"/>
      </w:r>
      <w:r>
        <w:rPr>
          <w:w w:val="105"/>
        </w:rPr>
        <w:t>Current </w:t>
      </w:r>
      <w:r>
        <w:rPr>
          <w:spacing w:val="-1"/>
          <w:w w:val="105"/>
        </w:rPr>
        <w:t>financial </w:t>
      </w:r>
      <w:r>
        <w:rPr>
          <w:w w:val="105"/>
        </w:rPr>
        <w:t>year</w:t>
      </w:r>
    </w:p>
    <w:p>
      <w:pPr>
        <w:pStyle w:val="BodyText"/>
        <w:spacing w:line="252" w:lineRule="auto" w:before="23"/>
        <w:ind w:left="332" w:right="573" w:hanging="1"/>
        <w:jc w:val="center"/>
      </w:pPr>
      <w:r>
        <w:rPr/>
        <w:br w:type="column"/>
      </w:r>
      <w:r>
        <w:rPr>
          <w:spacing w:val="-1"/>
          <w:w w:val="105"/>
        </w:rPr>
        <w:t>Previous financial </w:t>
      </w:r>
      <w:r>
        <w:rPr>
          <w:w w:val="105"/>
        </w:rPr>
        <w:t>year</w:t>
      </w:r>
    </w:p>
    <w:p>
      <w:pPr>
        <w:spacing w:after="0" w:line="252" w:lineRule="auto"/>
        <w:jc w:val="center"/>
        <w:sectPr>
          <w:type w:val="continuous"/>
          <w:pgSz w:w="12240" w:h="15840"/>
          <w:pgMar w:top="1260" w:bottom="280" w:left="1720" w:right="1720"/>
          <w:cols w:num="3" w:equalWidth="0">
            <w:col w:w="5974" w:space="74"/>
            <w:col w:w="1148" w:space="39"/>
            <w:col w:w="1565"/>
          </w:cols>
        </w:sectPr>
      </w:pPr>
    </w:p>
    <w:p>
      <w:pPr>
        <w:pStyle w:val="BodyText"/>
        <w:spacing w:line="20" w:lineRule="exact" w:before="0"/>
        <w:ind w:left="6356"/>
        <w:rPr>
          <w:sz w:val="2"/>
        </w:rPr>
      </w:pPr>
      <w:r>
        <w:rPr/>
        <w:pict>
          <v:shape style="position:absolute;margin-left:403.800018pt;margin-top:311.640991pt;width:102.75pt;height:.75pt;mso-position-horizontal-relative:page;mso-position-vertical-relative:page;z-index:15732224" coordorigin="8076,6233" coordsize="2055,15" path="m9115,6233l9103,6233,8076,6233,8076,6247,9103,6247,9115,6247,9115,6233xm10130,6233l9115,6233,9115,6247,10130,6247,10130,623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03.800018pt;margin-top:323.16098pt;width:102.75pt;height:.75pt;mso-position-horizontal-relative:page;mso-position-vertical-relative:page;z-index:15732736" coordorigin="8076,6463" coordsize="2055,15" path="m9115,6463l9103,6463,8076,6463,8076,6478,9103,6478,9115,6478,9115,6463xm10130,6463l9115,6463,9115,6478,10130,6478,10130,6463xe" filled="true" fillcolor="#000000" stroked="false">
            <v:path arrowok="t"/>
            <v:fill type="solid"/>
            <w10:wrap type="none"/>
          </v:shape>
        </w:pict>
      </w:r>
      <w:r>
        <w:rPr>
          <w:sz w:val="2"/>
        </w:rPr>
        <w:pict>
          <v:group style="width:102.75pt;height:.75pt;mso-position-horizontal-relative:char;mso-position-vertical-relative:line" coordorigin="0,0" coordsize="2055,15">
            <v:shape style="position:absolute;left:0;top:0;width:2055;height:15" coordorigin="0,0" coordsize="2055,15" path="m1039,0l1027,0,0,0,0,14,1027,14,1039,14,1039,0xm2054,0l1039,0,1039,14,2054,14,2054,0xe" filled="true" fillcolor="#000000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11"/>
        <w:ind w:left="0"/>
        <w:rPr>
          <w:sz w:val="9"/>
        </w:rPr>
      </w:pPr>
    </w:p>
    <w:p>
      <w:pPr>
        <w:pStyle w:val="ListParagraph"/>
        <w:numPr>
          <w:ilvl w:val="0"/>
          <w:numId w:val="5"/>
        </w:numPr>
        <w:tabs>
          <w:tab w:pos="1013" w:val="left" w:leader="none"/>
          <w:tab w:pos="1014" w:val="left" w:leader="none"/>
        </w:tabs>
        <w:spacing w:line="249" w:lineRule="auto" w:before="105" w:after="0"/>
        <w:ind w:left="490" w:right="5785" w:firstLine="0"/>
        <w:jc w:val="left"/>
        <w:rPr>
          <w:sz w:val="18"/>
        </w:rPr>
      </w:pPr>
      <w:r>
        <w:rPr/>
        <w:pict>
          <v:shape style="position:absolute;margin-left:403.800018pt;margin-top:-29.306768pt;width:102.75pt;height:.75pt;mso-position-horizontal-relative:page;mso-position-vertical-relative:paragraph;z-index:15734272" coordorigin="8076,-586" coordsize="2055,15" path="m9115,-586l9103,-586,8076,-586,8076,-572,9103,-572,9115,-572,9115,-586xm10130,-586l9115,-586,9115,-572,10130,-572,10130,-58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03.800018pt;margin-top:-17.786768pt;width:102.75pt;height:.75pt;mso-position-horizontal-relative:page;mso-position-vertical-relative:paragraph;z-index:15734784" coordorigin="8076,-356" coordsize="2055,15" path="m9115,-356l9103,-356,8076,-356,8076,-341,9103,-341,9115,-341,9115,-356xm10130,-356l9115,-356,9115,-341,10130,-341,10130,-356xe" filled="true" fillcolor="#000000" stroked="false">
            <v:path arrowok="t"/>
            <v:fill type="solid"/>
            <w10:wrap type="none"/>
          </v:shape>
        </w:pict>
      </w:r>
      <w:r>
        <w:rPr>
          <w:w w:val="105"/>
          <w:sz w:val="18"/>
        </w:rPr>
        <w:t>Profit/loss before tax</w:t>
      </w:r>
      <w:r>
        <w:rPr>
          <w:spacing w:val="-20"/>
          <w:w w:val="105"/>
          <w:sz w:val="18"/>
        </w:rPr>
        <w:t> </w:t>
      </w:r>
      <w:r>
        <w:rPr>
          <w:w w:val="105"/>
          <w:sz w:val="18"/>
        </w:rPr>
        <w:t>(I-II) IV</w:t>
        <w:tab/>
        <w:t>Provision for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taxation</w:t>
      </w:r>
    </w:p>
    <w:p>
      <w:pPr>
        <w:pStyle w:val="BodyText"/>
        <w:tabs>
          <w:tab w:pos="1013" w:val="left" w:leader="none"/>
        </w:tabs>
        <w:spacing w:line="247" w:lineRule="auto" w:before="2"/>
        <w:ind w:left="490" w:right="6328"/>
      </w:pPr>
      <w:r>
        <w:rPr>
          <w:w w:val="105"/>
        </w:rPr>
        <w:t>V</w:t>
        <w:tab/>
        <w:t>Profit/loss after tax VI</w:t>
        <w:tab/>
        <w:t>Proposed</w:t>
      </w:r>
      <w:r>
        <w:rPr>
          <w:spacing w:val="-16"/>
          <w:w w:val="105"/>
        </w:rPr>
        <w:t> </w:t>
      </w:r>
      <w:r>
        <w:rPr>
          <w:w w:val="105"/>
        </w:rPr>
        <w:t>dividend:</w:t>
      </w:r>
    </w:p>
    <w:p>
      <w:pPr>
        <w:pStyle w:val="BodyText"/>
        <w:spacing w:before="5"/>
      </w:pPr>
      <w:r>
        <w:rPr>
          <w:w w:val="105"/>
        </w:rPr>
        <w:t>---preference shares</w:t>
      </w:r>
    </w:p>
    <w:p>
      <w:pPr>
        <w:pStyle w:val="BodyText"/>
      </w:pPr>
      <w:r>
        <w:rPr>
          <w:w w:val="105"/>
        </w:rPr>
        <w:t>---Equity shares</w:t>
      </w:r>
    </w:p>
    <w:p>
      <w:pPr>
        <w:pStyle w:val="BodyText"/>
        <w:tabs>
          <w:tab w:pos="1013" w:val="left" w:leader="none"/>
        </w:tabs>
        <w:ind w:left="490"/>
      </w:pPr>
      <w:r>
        <w:rPr>
          <w:w w:val="105"/>
        </w:rPr>
        <w:t>VII</w:t>
        <w:tab/>
        <w:t>Transfer to</w:t>
      </w:r>
      <w:r>
        <w:rPr>
          <w:spacing w:val="-2"/>
          <w:w w:val="105"/>
        </w:rPr>
        <w:t> </w:t>
      </w:r>
      <w:r>
        <w:rPr>
          <w:w w:val="105"/>
        </w:rPr>
        <w:t>reserves/surplus</w:t>
      </w: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188"/>
        <w:ind w:left="490"/>
      </w:pPr>
      <w:r>
        <w:rPr>
          <w:w w:val="105"/>
        </w:rPr>
        <w:t>Notes to the abridged balance sheet and the abridged profit and loss account.</w:t>
      </w:r>
    </w:p>
    <w:p>
      <w:pPr>
        <w:pStyle w:val="BodyText"/>
        <w:tabs>
          <w:tab w:pos="828" w:val="left" w:leader="none"/>
        </w:tabs>
        <w:spacing w:line="249" w:lineRule="auto"/>
        <w:ind w:left="828" w:right="504" w:hanging="339"/>
      </w:pPr>
      <w:r>
        <w:rPr>
          <w:w w:val="105"/>
        </w:rPr>
        <w:t>1˜</w:t>
        <w:tab/>
        <w:t>The</w:t>
      </w:r>
      <w:r>
        <w:rPr>
          <w:spacing w:val="-7"/>
          <w:w w:val="105"/>
        </w:rPr>
        <w:t> </w:t>
      </w:r>
      <w:r>
        <w:rPr>
          <w:w w:val="105"/>
        </w:rPr>
        <w:t>amounts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shown</w:t>
      </w:r>
      <w:r>
        <w:rPr>
          <w:spacing w:val="-5"/>
          <w:w w:val="105"/>
        </w:rPr>
        <w:t> </w:t>
      </w:r>
      <w:r>
        <w:rPr>
          <w:w w:val="105"/>
        </w:rPr>
        <w:t>here</w:t>
      </w:r>
      <w:r>
        <w:rPr>
          <w:spacing w:val="-2"/>
          <w:w w:val="105"/>
        </w:rPr>
        <w:t> </w:t>
      </w:r>
      <w:r>
        <w:rPr>
          <w:w w:val="105"/>
        </w:rPr>
        <w:t>should</w:t>
      </w:r>
      <w:r>
        <w:rPr>
          <w:spacing w:val="-5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same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shown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corresponding</w:t>
      </w:r>
      <w:r>
        <w:rPr>
          <w:spacing w:val="-7"/>
          <w:w w:val="105"/>
        </w:rPr>
        <w:t> </w:t>
      </w:r>
      <w:r>
        <w:rPr>
          <w:w w:val="105"/>
        </w:rPr>
        <w:t>aggregated</w:t>
      </w:r>
      <w:r>
        <w:rPr>
          <w:spacing w:val="-7"/>
          <w:w w:val="105"/>
        </w:rPr>
        <w:t> </w:t>
      </w:r>
      <w:r>
        <w:rPr>
          <w:w w:val="105"/>
        </w:rPr>
        <w:t>heads in the accounts as per Schedule VI </w:t>
      </w:r>
      <w:r>
        <w:rPr>
          <w:spacing w:val="-3"/>
          <w:w w:val="105"/>
        </w:rPr>
        <w:t>or </w:t>
      </w:r>
      <w:r>
        <w:rPr>
          <w:w w:val="105"/>
        </w:rPr>
        <w:t>as near thereto as</w:t>
      </w:r>
      <w:r>
        <w:rPr>
          <w:spacing w:val="-10"/>
          <w:w w:val="105"/>
        </w:rPr>
        <w:t> </w:t>
      </w:r>
      <w:r>
        <w:rPr>
          <w:w w:val="105"/>
        </w:rPr>
        <w:t>possible.</w:t>
      </w:r>
    </w:p>
    <w:p>
      <w:pPr>
        <w:pStyle w:val="BodyText"/>
        <w:tabs>
          <w:tab w:pos="828" w:val="left" w:leader="none"/>
        </w:tabs>
        <w:spacing w:line="249" w:lineRule="auto" w:before="4"/>
        <w:ind w:left="828" w:right="1114" w:hanging="339"/>
      </w:pPr>
      <w:r>
        <w:rPr>
          <w:w w:val="105"/>
        </w:rPr>
        <w:t>2˜</w:t>
        <w:tab/>
        <w:t>The</w:t>
      </w:r>
      <w:r>
        <w:rPr>
          <w:spacing w:val="-8"/>
          <w:w w:val="105"/>
        </w:rPr>
        <w:t> </w:t>
      </w:r>
      <w:r>
        <w:rPr>
          <w:w w:val="105"/>
        </w:rPr>
        <w:t>total</w:t>
      </w:r>
      <w:r>
        <w:rPr>
          <w:spacing w:val="-7"/>
          <w:w w:val="105"/>
        </w:rPr>
        <w:t> </w:t>
      </w:r>
      <w:r>
        <w:rPr>
          <w:w w:val="105"/>
        </w:rPr>
        <w:t>amount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contingent</w:t>
      </w:r>
      <w:r>
        <w:rPr>
          <w:spacing w:val="-6"/>
          <w:w w:val="105"/>
        </w:rPr>
        <w:t> </w:t>
      </w:r>
      <w:r>
        <w:rPr>
          <w:w w:val="105"/>
        </w:rPr>
        <w:t>liabilities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of</w:t>
      </w:r>
      <w:r>
        <w:rPr>
          <w:spacing w:val="-5"/>
          <w:w w:val="105"/>
        </w:rPr>
        <w:t> </w:t>
      </w:r>
      <w:r>
        <w:rPr>
          <w:w w:val="105"/>
        </w:rPr>
        <w:t>capital</w:t>
      </w:r>
      <w:r>
        <w:rPr>
          <w:spacing w:val="-3"/>
          <w:w w:val="105"/>
        </w:rPr>
        <w:t> </w:t>
      </w:r>
      <w:r>
        <w:rPr>
          <w:w w:val="105"/>
        </w:rPr>
        <w:t>commitments</w:t>
      </w:r>
      <w:r>
        <w:rPr>
          <w:spacing w:val="-8"/>
          <w:w w:val="105"/>
        </w:rPr>
        <w:t> </w:t>
      </w:r>
      <w:r>
        <w:rPr>
          <w:w w:val="105"/>
        </w:rPr>
        <w:t>should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shown separately.</w:t>
      </w:r>
    </w:p>
    <w:p>
      <w:pPr>
        <w:pStyle w:val="BodyText"/>
        <w:spacing w:line="252" w:lineRule="auto" w:before="0"/>
        <w:ind w:left="828" w:right="855" w:hanging="339"/>
        <w:jc w:val="both"/>
      </w:pPr>
      <w:r>
        <w:rPr>
          <w:w w:val="105"/>
        </w:rPr>
        <w:t>3˜ All notes forming part of the accounts as per Schedule VI to which specific attention has been drawn by the auditors or which form a subject-matter of qualification by the auditor should be reproduced.</w:t>
      </w:r>
    </w:p>
    <w:p>
      <w:pPr>
        <w:pStyle w:val="BodyText"/>
        <w:spacing w:line="249" w:lineRule="auto" w:before="0"/>
        <w:ind w:left="828" w:right="570" w:hanging="339"/>
        <w:jc w:val="both"/>
      </w:pPr>
      <w:r>
        <w:rPr>
          <w:w w:val="105"/>
        </w:rPr>
        <w:t>4˜ If fixed assets are revalued, the amount of revaluation should be shown separately for the first five years subsequent to the date of revaluation.</w:t>
      </w:r>
    </w:p>
    <w:p>
      <w:pPr>
        <w:spacing w:after="0" w:line="249" w:lineRule="auto"/>
        <w:jc w:val="both"/>
        <w:sectPr>
          <w:type w:val="continuous"/>
          <w:pgSz w:w="12240" w:h="15840"/>
          <w:pgMar w:top="1260" w:bottom="280" w:left="1720" w:right="1720"/>
        </w:sectPr>
      </w:pPr>
    </w:p>
    <w:p>
      <w:pPr>
        <w:pStyle w:val="BodyText"/>
        <w:tabs>
          <w:tab w:pos="828" w:val="left" w:leader="none"/>
        </w:tabs>
        <w:spacing w:line="249" w:lineRule="auto" w:before="93"/>
        <w:ind w:left="828" w:right="1253" w:hanging="339"/>
      </w:pPr>
      <w:r>
        <w:rPr>
          <w:i/>
          <w:w w:val="105"/>
        </w:rPr>
        <w:t>5</w:t>
      </w:r>
      <w:r>
        <w:rPr>
          <w:w w:val="105"/>
        </w:rPr>
        <w:t>˜</w:t>
        <w:tab/>
        <w:t>Any</w:t>
      </w:r>
      <w:r>
        <w:rPr>
          <w:spacing w:val="-9"/>
          <w:w w:val="105"/>
        </w:rPr>
        <w:t> </w:t>
      </w:r>
      <w:r>
        <w:rPr>
          <w:w w:val="105"/>
        </w:rPr>
        <w:t>item</w:t>
      </w:r>
      <w:r>
        <w:rPr>
          <w:spacing w:val="-5"/>
          <w:w w:val="105"/>
        </w:rPr>
        <w:t> </w:t>
      </w:r>
      <w:r>
        <w:rPr>
          <w:w w:val="105"/>
        </w:rPr>
        <w:t>which</w:t>
      </w:r>
      <w:r>
        <w:rPr>
          <w:spacing w:val="-5"/>
          <w:w w:val="105"/>
        </w:rPr>
        <w:t> </w:t>
      </w:r>
      <w:r>
        <w:rPr>
          <w:w w:val="105"/>
        </w:rPr>
        <w:t>constitutes</w:t>
      </w:r>
      <w:r>
        <w:rPr>
          <w:spacing w:val="-3"/>
          <w:w w:val="105"/>
        </w:rPr>
        <w:t> </w:t>
      </w:r>
      <w:r>
        <w:rPr>
          <w:w w:val="105"/>
        </w:rPr>
        <w:t>20%</w:t>
      </w:r>
      <w:r>
        <w:rPr>
          <w:spacing w:val="-5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more</w:t>
      </w:r>
      <w:r>
        <w:rPr>
          <w:spacing w:val="-2"/>
          <w:w w:val="105"/>
        </w:rPr>
        <w:t> </w:t>
      </w:r>
      <w:r>
        <w:rPr>
          <w:spacing w:val="-3"/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total</w:t>
      </w:r>
      <w:r>
        <w:rPr>
          <w:spacing w:val="-4"/>
          <w:w w:val="105"/>
        </w:rPr>
        <w:t> </w:t>
      </w:r>
      <w:r>
        <w:rPr>
          <w:w w:val="105"/>
        </w:rPr>
        <w:t>income</w:t>
      </w:r>
      <w:r>
        <w:rPr>
          <w:spacing w:val="-2"/>
          <w:w w:val="105"/>
        </w:rPr>
        <w:t> </w:t>
      </w:r>
      <w:r>
        <w:rPr>
          <w:spacing w:val="-3"/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expenditure</w:t>
      </w:r>
      <w:r>
        <w:rPr>
          <w:spacing w:val="-7"/>
          <w:w w:val="105"/>
        </w:rPr>
        <w:t> </w:t>
      </w:r>
      <w:r>
        <w:rPr>
          <w:w w:val="105"/>
        </w:rPr>
        <w:t>(including provision) should be shown</w:t>
      </w:r>
      <w:r>
        <w:rPr>
          <w:spacing w:val="-3"/>
          <w:w w:val="105"/>
        </w:rPr>
        <w:t> </w:t>
      </w:r>
      <w:r>
        <w:rPr>
          <w:w w:val="105"/>
        </w:rPr>
        <w:t>separately.</w:t>
      </w:r>
    </w:p>
    <w:p>
      <w:pPr>
        <w:pStyle w:val="BodyText"/>
        <w:tabs>
          <w:tab w:pos="828" w:val="left" w:leader="none"/>
        </w:tabs>
        <w:spacing w:line="247" w:lineRule="auto" w:before="2"/>
        <w:ind w:left="828" w:right="625" w:hanging="339"/>
      </w:pPr>
      <w:r>
        <w:rPr>
          <w:i/>
          <w:w w:val="105"/>
        </w:rPr>
        <w:t>6</w:t>
      </w:r>
      <w:r>
        <w:rPr>
          <w:w w:val="105"/>
        </w:rPr>
        <w:t>˜</w:t>
        <w:tab/>
        <w:t>Amount</w:t>
      </w:r>
      <w:r>
        <w:rPr>
          <w:spacing w:val="-5"/>
          <w:w w:val="105"/>
        </w:rPr>
        <w:t> </w:t>
      </w:r>
      <w:r>
        <w:rPr>
          <w:w w:val="105"/>
        </w:rPr>
        <w:t>,</w:t>
      </w:r>
      <w:r>
        <w:rPr>
          <w:spacing w:val="-2"/>
          <w:w w:val="105"/>
        </w:rPr>
        <w:t> </w:t>
      </w:r>
      <w:r>
        <w:rPr>
          <w:w w:val="105"/>
        </w:rPr>
        <w:t>if</w:t>
      </w:r>
      <w:r>
        <w:rPr>
          <w:spacing w:val="-2"/>
          <w:w w:val="105"/>
        </w:rPr>
        <w:t> </w:t>
      </w:r>
      <w:r>
        <w:rPr>
          <w:w w:val="105"/>
        </w:rPr>
        <w:t>material, by</w:t>
      </w:r>
      <w:r>
        <w:rPr>
          <w:spacing w:val="-7"/>
          <w:w w:val="105"/>
        </w:rPr>
        <w:t> </w:t>
      </w:r>
      <w:r>
        <w:rPr>
          <w:w w:val="105"/>
        </w:rPr>
        <w:t>which</w:t>
      </w:r>
      <w:r>
        <w:rPr>
          <w:spacing w:val="-5"/>
          <w:w w:val="105"/>
        </w:rPr>
        <w:t> </w:t>
      </w:r>
      <w:r>
        <w:rPr>
          <w:w w:val="105"/>
        </w:rPr>
        <w:t>any</w:t>
      </w:r>
      <w:r>
        <w:rPr>
          <w:spacing w:val="-6"/>
          <w:w w:val="105"/>
        </w:rPr>
        <w:t> </w:t>
      </w:r>
      <w:r>
        <w:rPr>
          <w:w w:val="105"/>
        </w:rPr>
        <w:t>items</w:t>
      </w:r>
      <w:r>
        <w:rPr>
          <w:spacing w:val="-3"/>
          <w:w w:val="105"/>
        </w:rPr>
        <w:t> </w:t>
      </w:r>
      <w:r>
        <w:rPr>
          <w:w w:val="105"/>
        </w:rPr>
        <w:t>shown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the profit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loss</w:t>
      </w:r>
      <w:r>
        <w:rPr>
          <w:spacing w:val="-3"/>
          <w:w w:val="105"/>
        </w:rPr>
        <w:t> </w:t>
      </w:r>
      <w:r>
        <w:rPr>
          <w:w w:val="105"/>
        </w:rPr>
        <w:t>account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3"/>
          <w:w w:val="105"/>
        </w:rPr>
        <w:t> </w:t>
      </w:r>
      <w:r>
        <w:rPr>
          <w:w w:val="105"/>
        </w:rPr>
        <w:t>affected</w:t>
      </w:r>
      <w:r>
        <w:rPr>
          <w:spacing w:val="-4"/>
          <w:w w:val="105"/>
        </w:rPr>
        <w:t> </w:t>
      </w:r>
      <w:r>
        <w:rPr>
          <w:w w:val="105"/>
        </w:rPr>
        <w:t>by</w:t>
      </w:r>
      <w:r>
        <w:rPr>
          <w:spacing w:val="-10"/>
          <w:w w:val="105"/>
        </w:rPr>
        <w:t> </w:t>
      </w:r>
      <w:r>
        <w:rPr>
          <w:w w:val="105"/>
        </w:rPr>
        <w:t>any change in the basis </w:t>
      </w:r>
      <w:r>
        <w:rPr>
          <w:spacing w:val="-3"/>
          <w:w w:val="105"/>
        </w:rPr>
        <w:t>of </w:t>
      </w:r>
      <w:r>
        <w:rPr>
          <w:w w:val="105"/>
        </w:rPr>
        <w:t>accounting, should be disclosed</w:t>
      </w:r>
      <w:r>
        <w:rPr>
          <w:spacing w:val="46"/>
          <w:w w:val="105"/>
        </w:rPr>
        <w:t> </w:t>
      </w:r>
      <w:r>
        <w:rPr>
          <w:w w:val="105"/>
        </w:rPr>
        <w:t>separately.</w:t>
      </w:r>
    </w:p>
    <w:p>
      <w:pPr>
        <w:pStyle w:val="BodyText"/>
        <w:tabs>
          <w:tab w:pos="828" w:val="left" w:leader="none"/>
        </w:tabs>
        <w:spacing w:line="249" w:lineRule="auto" w:before="5"/>
        <w:ind w:left="828" w:right="663" w:hanging="339"/>
      </w:pPr>
      <w:r>
        <w:rPr>
          <w:i/>
          <w:w w:val="105"/>
        </w:rPr>
        <w:t>7</w:t>
      </w:r>
      <w:r>
        <w:rPr>
          <w:w w:val="105"/>
        </w:rPr>
        <w:t>˜</w:t>
        <w:tab/>
        <w:t>If no provision is made for depreciation, the fact that no provision has been made shall be stated along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quantum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arrears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depreciation</w:t>
      </w:r>
      <w:r>
        <w:rPr>
          <w:spacing w:val="-7"/>
          <w:w w:val="105"/>
        </w:rPr>
        <w:t> </w:t>
      </w:r>
      <w:r>
        <w:rPr>
          <w:w w:val="105"/>
        </w:rPr>
        <w:t>computed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accordance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section</w:t>
      </w:r>
      <w:r>
        <w:rPr>
          <w:spacing w:val="-5"/>
          <w:w w:val="105"/>
        </w:rPr>
        <w:t> </w:t>
      </w:r>
      <w:r>
        <w:rPr>
          <w:w w:val="105"/>
        </w:rPr>
        <w:t>205(2)</w:t>
      </w:r>
      <w:r>
        <w:rPr>
          <w:spacing w:val="-3"/>
          <w:w w:val="105"/>
        </w:rPr>
        <w:t> of </w:t>
      </w:r>
      <w:r>
        <w:rPr>
          <w:w w:val="105"/>
        </w:rPr>
        <w:t>the Act.</w:t>
      </w:r>
    </w:p>
    <w:p>
      <w:pPr>
        <w:pStyle w:val="BodyText"/>
        <w:tabs>
          <w:tab w:pos="828" w:val="left" w:leader="none"/>
        </w:tabs>
        <w:spacing w:line="254" w:lineRule="auto" w:before="3"/>
        <w:ind w:left="828" w:right="947" w:hanging="339"/>
      </w:pPr>
      <w:r>
        <w:rPr>
          <w:i/>
          <w:w w:val="105"/>
        </w:rPr>
        <w:t>8</w:t>
      </w:r>
      <w:r>
        <w:rPr>
          <w:w w:val="105"/>
        </w:rPr>
        <w:t>˜</w:t>
        <w:tab/>
        <w:t>Market</w:t>
      </w:r>
      <w:r>
        <w:rPr>
          <w:spacing w:val="-5"/>
          <w:w w:val="105"/>
        </w:rPr>
        <w:t> </w:t>
      </w:r>
      <w:r>
        <w:rPr>
          <w:w w:val="105"/>
        </w:rPr>
        <w:t>value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quoted</w:t>
      </w:r>
      <w:r>
        <w:rPr>
          <w:spacing w:val="-8"/>
          <w:w w:val="105"/>
        </w:rPr>
        <w:t> </w:t>
      </w:r>
      <w:r>
        <w:rPr>
          <w:w w:val="105"/>
        </w:rPr>
        <w:t>investments</w:t>
      </w:r>
      <w:r>
        <w:rPr>
          <w:spacing w:val="-5"/>
          <w:w w:val="105"/>
        </w:rPr>
        <w:t> </w:t>
      </w:r>
      <w:r>
        <w:rPr>
          <w:w w:val="105"/>
        </w:rPr>
        <w:t>(both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current</w:t>
      </w:r>
      <w:r>
        <w:rPr>
          <w:spacing w:val="-2"/>
          <w:w w:val="105"/>
        </w:rPr>
        <w:t> </w:t>
      </w:r>
      <w:r>
        <w:rPr>
          <w:w w:val="105"/>
        </w:rPr>
        <w:t>year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also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previous</w:t>
      </w:r>
      <w:r>
        <w:rPr>
          <w:spacing w:val="-3"/>
          <w:w w:val="105"/>
        </w:rPr>
        <w:t> </w:t>
      </w:r>
      <w:r>
        <w:rPr>
          <w:w w:val="105"/>
        </w:rPr>
        <w:t>year)</w:t>
      </w:r>
      <w:r>
        <w:rPr>
          <w:spacing w:val="-4"/>
          <w:w w:val="105"/>
        </w:rPr>
        <w:t> </w:t>
      </w:r>
      <w:r>
        <w:rPr>
          <w:w w:val="105"/>
        </w:rPr>
        <w:t>should</w:t>
      </w:r>
      <w:r>
        <w:rPr>
          <w:spacing w:val="-6"/>
          <w:w w:val="105"/>
        </w:rPr>
        <w:t> </w:t>
      </w:r>
      <w:r>
        <w:rPr>
          <w:w w:val="105"/>
        </w:rPr>
        <w:t>be mentioned.</w:t>
      </w:r>
    </w:p>
    <w:p>
      <w:pPr>
        <w:pStyle w:val="BodyText"/>
        <w:tabs>
          <w:tab w:pos="828" w:val="left" w:leader="none"/>
        </w:tabs>
        <w:spacing w:line="249" w:lineRule="auto" w:before="0"/>
        <w:ind w:left="828" w:right="1342" w:hanging="339"/>
      </w:pPr>
      <w:r>
        <w:rPr>
          <w:i/>
          <w:w w:val="105"/>
        </w:rPr>
        <w:t>9</w:t>
      </w:r>
      <w:r>
        <w:rPr>
          <w:w w:val="105"/>
        </w:rPr>
        <w:t>˜</w:t>
        <w:tab/>
        <w:t>Any</w:t>
      </w:r>
      <w:r>
        <w:rPr>
          <w:spacing w:val="-8"/>
          <w:w w:val="105"/>
        </w:rPr>
        <w:t> </w:t>
      </w:r>
      <w:r>
        <w:rPr>
          <w:w w:val="105"/>
        </w:rPr>
        <w:t>noted</w:t>
      </w:r>
      <w:r>
        <w:rPr>
          <w:spacing w:val="-6"/>
          <w:w w:val="105"/>
        </w:rPr>
        <w:t> </w:t>
      </w:r>
      <w:r>
        <w:rPr>
          <w:w w:val="105"/>
        </w:rPr>
        <w:t>forming</w:t>
      </w:r>
      <w:r>
        <w:rPr>
          <w:spacing w:val="-6"/>
          <w:w w:val="105"/>
        </w:rPr>
        <w:t> </w:t>
      </w:r>
      <w:r>
        <w:rPr>
          <w:w w:val="105"/>
        </w:rPr>
        <w:t>part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accounts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per</w:t>
      </w:r>
      <w:r>
        <w:rPr>
          <w:spacing w:val="-3"/>
          <w:w w:val="105"/>
        </w:rPr>
        <w:t> </w:t>
      </w:r>
      <w:r>
        <w:rPr>
          <w:w w:val="105"/>
        </w:rPr>
        <w:t>Schedule</w:t>
      </w:r>
      <w:r>
        <w:rPr>
          <w:spacing w:val="-5"/>
          <w:w w:val="105"/>
        </w:rPr>
        <w:t> </w:t>
      </w:r>
      <w:r>
        <w:rPr>
          <w:w w:val="105"/>
        </w:rPr>
        <w:t>VI</w:t>
      </w:r>
      <w:r>
        <w:rPr>
          <w:spacing w:val="-3"/>
          <w:w w:val="105"/>
        </w:rPr>
        <w:t> </w:t>
      </w:r>
      <w:r>
        <w:rPr>
          <w:w w:val="105"/>
        </w:rPr>
        <w:t>which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nature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any explanation regarding compliance with any law should be</w:t>
      </w:r>
      <w:r>
        <w:rPr>
          <w:spacing w:val="-22"/>
          <w:w w:val="105"/>
        </w:rPr>
        <w:t> </w:t>
      </w:r>
      <w:r>
        <w:rPr>
          <w:w w:val="105"/>
        </w:rPr>
        <w:t>reproduced.</w:t>
      </w:r>
    </w:p>
    <w:p>
      <w:pPr>
        <w:pStyle w:val="BodyText"/>
        <w:spacing w:line="254" w:lineRule="auto" w:before="0"/>
        <w:ind w:left="828" w:right="316" w:hanging="339"/>
      </w:pPr>
      <w:r>
        <w:rPr>
          <w:i/>
          <w:w w:val="105"/>
        </w:rPr>
        <w:t>10</w:t>
      </w:r>
      <w:r>
        <w:rPr>
          <w:w w:val="105"/>
        </w:rPr>
        <w:t>˜ Important ratio performance such as sales/total assets ratio, operating profit/capital employed ratio, return on net worth profit/sales ratio.</w:t>
      </w:r>
    </w:p>
    <w:p>
      <w:pPr>
        <w:pStyle w:val="BodyText"/>
        <w:spacing w:line="203" w:lineRule="exact" w:before="0"/>
        <w:ind w:left="490"/>
      </w:pPr>
      <w:r>
        <w:rPr>
          <w:i/>
          <w:w w:val="105"/>
        </w:rPr>
        <w:t>11</w:t>
      </w:r>
      <w:r>
        <w:rPr>
          <w:w w:val="105"/>
        </w:rPr>
        <w:t>˜ Details of installed capacity and productivity of main items manufactured should be disclosed.</w:t>
      </w:r>
    </w:p>
    <w:p>
      <w:pPr>
        <w:pStyle w:val="BodyText"/>
        <w:spacing w:before="3"/>
        <w:ind w:left="490"/>
      </w:pPr>
      <w:r>
        <w:rPr>
          <w:i/>
          <w:w w:val="105"/>
        </w:rPr>
        <w:t>12</w:t>
      </w:r>
      <w:r>
        <w:rPr>
          <w:w w:val="105"/>
        </w:rPr>
        <w:t>˜ Notes in the abridged balance sheet should be given the same number as in the main balance sheet.</w:t>
      </w:r>
    </w:p>
    <w:p>
      <w:pPr>
        <w:pStyle w:val="BodyText"/>
        <w:spacing w:line="254" w:lineRule="auto" w:before="7"/>
        <w:ind w:left="490" w:right="504" w:firstLine="676"/>
      </w:pPr>
      <w:r>
        <w:rPr>
          <w:w w:val="105"/>
        </w:rPr>
        <w:t>The above stated salient features of balance sheet and profit and loss account should be authenticated in the same manner as the main accounts are to be authenticated.</w:t>
      </w:r>
    </w:p>
    <w:p>
      <w:pPr>
        <w:pStyle w:val="BodyText"/>
        <w:spacing w:line="249" w:lineRule="auto" w:before="0"/>
        <w:ind w:left="490" w:right="504" w:firstLine="676"/>
      </w:pPr>
      <w:r>
        <w:rPr>
          <w:w w:val="105"/>
        </w:rPr>
        <w:t>Auditor’s report and the comments, if any, of the Comptroller and Auditor-General of India under sub-section (4) of section 619, in the respect of Government companies and companies under section 619B.</w:t>
      </w:r>
    </w:p>
    <w:p>
      <w:pPr>
        <w:pStyle w:val="BodyText"/>
        <w:spacing w:before="0"/>
        <w:ind w:left="490"/>
      </w:pPr>
      <w:r>
        <w:rPr>
          <w:w w:val="105"/>
        </w:rPr>
        <w:t>DIRECTORS REPORT</w:t>
      </w:r>
    </w:p>
    <w:p>
      <w:pPr>
        <w:pStyle w:val="BodyText"/>
        <w:spacing w:line="249" w:lineRule="auto" w:before="7"/>
        <w:ind w:left="490" w:right="504" w:firstLine="676"/>
      </w:pPr>
      <w:r>
        <w:rPr>
          <w:w w:val="105"/>
        </w:rPr>
        <w:t>Should be given in full except the information under clause (e) of sub-section (1) and sub- section (2A) of section 217.</w:t>
      </w:r>
    </w:p>
    <w:p>
      <w:pPr>
        <w:pStyle w:val="BodyText"/>
        <w:spacing w:before="1"/>
        <w:ind w:left="1167"/>
      </w:pPr>
      <w:r>
        <w:rPr>
          <w:w w:val="105"/>
        </w:rPr>
        <w:t>Subsidiary company/companies--------</w:t>
      </w:r>
    </w:p>
    <w:p>
      <w:pPr>
        <w:pStyle w:val="BodyText"/>
        <w:spacing w:line="249" w:lineRule="auto" w:before="12"/>
        <w:ind w:left="490" w:right="316" w:firstLine="676"/>
      </w:pPr>
      <w:r>
        <w:rPr>
          <w:w w:val="105"/>
        </w:rPr>
        <w:t>Every holding company shall give a statement relating to its subsidiary company/companies to be furnished in pursuance of clauses (e), (f) and (g) of sub-section (1) of section 212.</w:t>
      </w:r>
    </w:p>
    <w:p>
      <w:pPr>
        <w:pStyle w:val="BodyText"/>
        <w:spacing w:line="249" w:lineRule="auto" w:before="0"/>
        <w:ind w:left="5537" w:hanging="34"/>
      </w:pPr>
      <w:r>
        <w:rPr>
          <w:w w:val="105"/>
        </w:rPr>
        <w:t>(Signed by Directors/Secretary in the manner prescribed in section 215(1).</w:t>
      </w:r>
    </w:p>
    <w:sectPr>
      <w:pgSz w:w="12240" w:h="15840"/>
      <w:pgMar w:top="1260" w:bottom="280" w:left="172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2"/>
      <w:numFmt w:val="upperRoman"/>
      <w:lvlText w:val="%1"/>
      <w:lvlJc w:val="left"/>
      <w:pPr>
        <w:ind w:left="1013" w:hanging="524"/>
        <w:jc w:val="left"/>
      </w:pPr>
      <w:rPr>
        <w:rFonts w:hint="default" w:ascii="Times New Roman" w:hAnsi="Times New Roman" w:eastAsia="Times New Roman" w:cs="Times New Roman"/>
        <w:w w:val="104"/>
        <w:sz w:val="18"/>
        <w:szCs w:val="18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335" w:hanging="322"/>
        <w:jc w:val="left"/>
      </w:pPr>
      <w:rPr>
        <w:rFonts w:hint="default" w:ascii="Times New Roman" w:hAnsi="Times New Roman" w:eastAsia="Times New Roman" w:cs="Times New Roman"/>
        <w:w w:val="104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4" w:hanging="3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9" w:hanging="3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4" w:hanging="3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99" w:hanging="3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14" w:hanging="3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29" w:hanging="3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43" w:hanging="32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Roman"/>
      <w:lvlText w:val="%1."/>
      <w:lvlJc w:val="left"/>
      <w:pPr>
        <w:ind w:left="1013" w:hanging="524"/>
        <w:jc w:val="left"/>
      </w:pPr>
      <w:rPr>
        <w:rFonts w:hint="default" w:ascii="Times New Roman" w:hAnsi="Times New Roman" w:eastAsia="Times New Roman" w:cs="Times New Roman"/>
        <w:spacing w:val="-3"/>
        <w:w w:val="104"/>
        <w:sz w:val="18"/>
        <w:szCs w:val="18"/>
        <w:lang w:val="en-US" w:eastAsia="en-US" w:bidi="ar-SA"/>
      </w:rPr>
    </w:lvl>
    <w:lvl w:ilvl="1">
      <w:start w:val="0"/>
      <w:numFmt w:val="bullet"/>
      <w:lvlText w:val=""/>
      <w:lvlJc w:val="left"/>
      <w:pPr>
        <w:ind w:left="1352" w:hanging="339"/>
      </w:pPr>
      <w:rPr>
        <w:rFonts w:hint="default" w:ascii="Symbol" w:hAnsi="Symbol" w:eastAsia="Symbol" w:cs="Symbol"/>
        <w:w w:val="104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5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7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1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23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35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48" w:hanging="33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4"/>
      <w:numFmt w:val="decimal"/>
      <w:lvlText w:val="(%1)"/>
      <w:lvlJc w:val="left"/>
      <w:pPr>
        <w:ind w:left="1352" w:hanging="490"/>
        <w:jc w:val="left"/>
      </w:pPr>
      <w:rPr>
        <w:rFonts w:hint="default" w:ascii="Times New Roman" w:hAnsi="Times New Roman" w:eastAsia="Times New Roman" w:cs="Times New Roman"/>
        <w:spacing w:val="-1"/>
        <w:w w:val="104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04" w:hanging="4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8" w:hanging="4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2" w:hanging="4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6" w:hanging="4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4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4" w:hanging="4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8" w:hanging="4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2" w:hanging="49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Roman"/>
      <w:lvlText w:val="(%1)"/>
      <w:lvlJc w:val="left"/>
      <w:pPr>
        <w:ind w:left="1287" w:hanging="274"/>
        <w:jc w:val="left"/>
      </w:pPr>
      <w:rPr>
        <w:rFonts w:hint="default" w:ascii="Times New Roman" w:hAnsi="Times New Roman" w:eastAsia="Times New Roman" w:cs="Times New Roman"/>
        <w:w w:val="104"/>
        <w:sz w:val="18"/>
        <w:szCs w:val="18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695" w:hanging="344"/>
        <w:jc w:val="left"/>
      </w:pPr>
      <w:rPr>
        <w:rFonts w:hint="default" w:ascii="Times New Roman" w:hAnsi="Times New Roman" w:eastAsia="Times New Roman" w:cs="Times New Roman"/>
        <w:w w:val="104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8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7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6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5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4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3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2" w:hanging="34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"/>
      <w:lvlJc w:val="left"/>
      <w:pPr>
        <w:ind w:left="1013" w:hanging="524"/>
        <w:jc w:val="left"/>
      </w:pPr>
      <w:rPr>
        <w:rFonts w:hint="default" w:ascii="Times New Roman" w:hAnsi="Times New Roman" w:eastAsia="Times New Roman" w:cs="Times New Roman"/>
        <w:w w:val="104"/>
        <w:sz w:val="18"/>
        <w:szCs w:val="18"/>
        <w:lang w:val="en-US" w:eastAsia="en-US" w:bidi="ar-SA"/>
      </w:rPr>
    </w:lvl>
    <w:lvl w:ilvl="1">
      <w:start w:val="4"/>
      <w:numFmt w:val="decimal"/>
      <w:lvlText w:val="(%2)"/>
      <w:lvlJc w:val="left"/>
      <w:pPr>
        <w:ind w:left="1503" w:hanging="490"/>
        <w:jc w:val="left"/>
      </w:pPr>
      <w:rPr>
        <w:rFonts w:hint="default" w:ascii="Times New Roman" w:hAnsi="Times New Roman" w:eastAsia="Times New Roman" w:cs="Times New Roman"/>
        <w:spacing w:val="-1"/>
        <w:w w:val="104"/>
        <w:sz w:val="18"/>
        <w:szCs w:val="18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1491" w:hanging="341"/>
        <w:jc w:val="left"/>
      </w:pPr>
      <w:rPr>
        <w:rFonts w:hint="default" w:ascii="Times New Roman" w:hAnsi="Times New Roman" w:eastAsia="Times New Roman" w:cs="Times New Roman"/>
        <w:w w:val="104"/>
        <w:sz w:val="18"/>
        <w:szCs w:val="18"/>
        <w:lang w:val="en-US" w:eastAsia="en-US" w:bidi="ar-SA"/>
      </w:rPr>
    </w:lvl>
    <w:lvl w:ilvl="3">
      <w:start w:val="1"/>
      <w:numFmt w:val="lowerRoman"/>
      <w:lvlText w:val="(%4)"/>
      <w:lvlJc w:val="left"/>
      <w:pPr>
        <w:ind w:left="1599" w:hanging="315"/>
        <w:jc w:val="left"/>
      </w:pPr>
      <w:rPr>
        <w:rFonts w:hint="default" w:ascii="Times New Roman" w:hAnsi="Times New Roman" w:eastAsia="Times New Roman" w:cs="Times New Roman"/>
        <w:w w:val="104"/>
        <w:sz w:val="18"/>
        <w:szCs w:val="18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00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0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11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23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35" w:hanging="315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"/>
      <w:ind w:left="1013"/>
    </w:pPr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54" w:right="668"/>
      <w:jc w:val="center"/>
      <w:outlineLvl w:val="1"/>
    </w:pPr>
    <w:rPr>
      <w:rFonts w:ascii="Times New Roman" w:hAnsi="Times New Roman" w:eastAsia="Times New Roman" w:cs="Times New Roman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"/>
      <w:ind w:left="1013" w:hanging="34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fm23ab.doc</dc:title>
  <dcterms:created xsi:type="dcterms:W3CDTF">2020-09-15T10:48:06Z</dcterms:created>
  <dcterms:modified xsi:type="dcterms:W3CDTF">2020-09-15T10:48:06Z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2020-09-15T00:00:00Z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