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83"/>
        <w:ind w:right="3866"/>
      </w:pPr>
      <w:r>
        <w:rPr/>
        <w:t>FORM NO. 2</w:t>
      </w:r>
    </w:p>
    <w:p>
      <w:pPr>
        <w:pStyle w:val="BodyText"/>
        <w:rPr>
          <w:b/>
        </w:rPr>
      </w:pPr>
    </w:p>
    <w:p>
      <w:pPr>
        <w:tabs>
          <w:tab w:pos="4224" w:val="left" w:leader="none"/>
          <w:tab w:pos="5979" w:val="left" w:leader="none"/>
          <w:tab w:pos="9120" w:val="left" w:leader="none"/>
        </w:tabs>
        <w:spacing w:before="0"/>
        <w:ind w:left="219" w:right="0" w:firstLine="0"/>
        <w:jc w:val="left"/>
        <w:rPr>
          <w:i/>
          <w:sz w:val="20"/>
        </w:rPr>
      </w:pPr>
      <w:r>
        <w:rPr>
          <w:i/>
          <w:sz w:val="20"/>
        </w:rPr>
        <w:t>Registration No. 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Company</w:t>
      </w:r>
      <w:r>
        <w:rPr>
          <w:i/>
          <w:sz w:val="20"/>
          <w:u w:val="dotted"/>
        </w:rPr>
        <w:t> </w:t>
        <w:tab/>
      </w:r>
      <w:r>
        <w:rPr>
          <w:i/>
          <w:sz w:val="20"/>
        </w:rPr>
        <w:tab/>
        <w:t>Nominal Capital: Rs.</w:t>
      </w:r>
      <w:r>
        <w:rPr>
          <w:i/>
          <w:spacing w:val="-5"/>
          <w:sz w:val="20"/>
        </w:rPr>
        <w:t> </w:t>
      </w:r>
      <w:r>
        <w:rPr>
          <w:i/>
          <w:spacing w:val="-7"/>
          <w:sz w:val="20"/>
        </w:rPr>
        <w:t>.</w:t>
      </w:r>
      <w:r>
        <w:rPr>
          <w:i/>
          <w:sz w:val="20"/>
          <w:u w:val="dotted"/>
        </w:rPr>
        <w:t> </w:t>
        <w:tab/>
      </w:r>
    </w:p>
    <w:p>
      <w:pPr>
        <w:pStyle w:val="BodyText"/>
        <w:spacing w:before="10"/>
        <w:rPr>
          <w:i/>
        </w:rPr>
      </w:pPr>
    </w:p>
    <w:p>
      <w:pPr>
        <w:pStyle w:val="BodyText"/>
        <w:spacing w:before="1"/>
        <w:ind w:left="3247" w:right="3868"/>
        <w:jc w:val="center"/>
      </w:pPr>
      <w:r>
        <w:rPr/>
        <w:t>THE COMPANIES ACT, 1956</w:t>
      </w:r>
    </w:p>
    <w:p>
      <w:pPr>
        <w:pStyle w:val="Heading1"/>
        <w:spacing w:before="7"/>
        <w:ind w:right="3864"/>
      </w:pPr>
      <w:r>
        <w:rPr/>
        <w:t>Return on allotments</w:t>
      </w:r>
    </w:p>
    <w:p>
      <w:pPr>
        <w:spacing w:before="1"/>
        <w:ind w:left="3239" w:right="3868" w:firstLine="0"/>
        <w:jc w:val="center"/>
        <w:rPr>
          <w:i/>
          <w:sz w:val="20"/>
        </w:rPr>
      </w:pPr>
      <w:r>
        <w:rPr>
          <w:i/>
          <w:sz w:val="20"/>
        </w:rPr>
        <w:t>[Pursuant to section 75(1)]</w:t>
      </w:r>
    </w:p>
    <w:p>
      <w:pPr>
        <w:pStyle w:val="BodyText"/>
        <w:rPr>
          <w:i/>
          <w:sz w:val="12"/>
        </w:rPr>
      </w:pPr>
    </w:p>
    <w:p>
      <w:pPr>
        <w:pStyle w:val="BodyText"/>
        <w:tabs>
          <w:tab w:pos="6699" w:val="left" w:leader="none"/>
        </w:tabs>
        <w:spacing w:before="97"/>
        <w:ind w:left="219"/>
      </w:pPr>
      <w:r>
        <w:rPr/>
        <w:pict>
          <v:line style="position:absolute;mso-position-horizontal-relative:page;mso-position-vertical-relative:paragraph;z-index:-15868928" from="172.800003pt,9.625695pt" to="410.399998pt,9.745695pt" stroked="true" strokeweight=".499992pt" strokecolor="#000000">
            <v:stroke dashstyle="dot"/>
            <w10:wrap type="none"/>
          </v:line>
        </w:pic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Company</w:t>
        <w:tab/>
        <w:t>Limited/Private</w:t>
      </w:r>
      <w:r>
        <w:rPr>
          <w:spacing w:val="-1"/>
        </w:rPr>
        <w:t> </w:t>
      </w:r>
      <w:r>
        <w:rPr/>
        <w:t>Limited</w:t>
      </w:r>
    </w:p>
    <w:p>
      <w:pPr>
        <w:pStyle w:val="BodyText"/>
        <w:tabs>
          <w:tab w:pos="3797" w:val="left" w:leader="none"/>
          <w:tab w:pos="8117" w:val="left" w:leader="none"/>
          <w:tab w:pos="8693" w:val="left" w:leader="none"/>
        </w:tabs>
        <w:spacing w:line="244" w:lineRule="auto"/>
        <w:ind w:left="219" w:right="1004"/>
      </w:pPr>
      <w:r>
        <w:rPr/>
        <w:t>Presented</w:t>
      </w:r>
      <w:r>
        <w:rPr>
          <w:spacing w:val="-4"/>
        </w:rPr>
        <w:t> </w:t>
      </w:r>
      <w:r>
        <w:rPr/>
        <w:t>by   </w:t>
      </w:r>
      <w:r>
        <w:rPr>
          <w:spacing w:val="-10"/>
        </w:rPr>
        <w:t> </w:t>
      </w:r>
      <w:r>
        <w:rPr>
          <w:w w:val="99"/>
          <w:u w:val="dotted"/>
        </w:rPr>
        <w:t> </w:t>
      </w:r>
      <w:r>
        <w:rPr>
          <w:u w:val="dotted"/>
        </w:rPr>
        <w:tab/>
        <w:tab/>
        <w:tab/>
      </w:r>
      <w:r>
        <w:rPr/>
        <w:t> Return of Allotment</w:t>
      </w:r>
      <w:r>
        <w:rPr>
          <w:spacing w:val="-12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13"/>
        </w:rPr>
        <w:t>the</w:t>
      </w:r>
      <w:r>
        <w:rPr>
          <w:spacing w:val="-13"/>
          <w:u w:val="dotted"/>
        </w:rPr>
        <w:t> </w:t>
        <w:tab/>
      </w:r>
      <w:r>
        <w:rPr/>
        <w:t>made on the</w:t>
      </w:r>
      <w:r>
        <w:rPr>
          <w:spacing w:val="-14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date/dates*</w:t>
      </w:r>
      <w:r>
        <w:rPr>
          <w:u w:val="dotted"/>
        </w:rPr>
        <w:t> </w:t>
        <w:tab/>
      </w:r>
      <w:r>
        <w:rPr/>
        <w:t>filed with the Registrar of the companies pursuant to section</w:t>
      </w:r>
      <w:r>
        <w:rPr>
          <w:spacing w:val="-9"/>
        </w:rPr>
        <w:t> </w:t>
      </w:r>
      <w:r>
        <w:rPr/>
        <w:t>75(1).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361"/>
        <w:jc w:val="left"/>
        <w:rPr>
          <w:sz w:val="20"/>
        </w:rPr>
      </w:pPr>
      <w:r>
        <w:rPr>
          <w:sz w:val="20"/>
        </w:rPr>
        <w:t>Shares allotted payable in</w:t>
      </w:r>
      <w:r>
        <w:rPr>
          <w:spacing w:val="-2"/>
          <w:sz w:val="20"/>
        </w:rPr>
        <w:t> </w:t>
      </w:r>
      <w:r>
        <w:rPr>
          <w:sz w:val="20"/>
        </w:rPr>
        <w:t>cash:</w:t>
      </w:r>
    </w:p>
    <w:p>
      <w:pPr>
        <w:pStyle w:val="BodyText"/>
        <w:spacing w:before="10"/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8"/>
        <w:gridCol w:w="1080"/>
        <w:gridCol w:w="900"/>
        <w:gridCol w:w="641"/>
        <w:gridCol w:w="1188"/>
        <w:gridCol w:w="869"/>
        <w:gridCol w:w="869"/>
        <w:gridCol w:w="1191"/>
        <w:gridCol w:w="1006"/>
      </w:tblGrid>
      <w:tr>
        <w:trPr>
          <w:trHeight w:val="1175" w:hRule="atLeast"/>
        </w:trPr>
        <w:tc>
          <w:tcPr>
            <w:tcW w:w="1008" w:type="dxa"/>
          </w:tcPr>
          <w:p>
            <w:pPr>
              <w:pStyle w:val="TableParagraph"/>
              <w:spacing w:line="244" w:lineRule="auto"/>
              <w:ind w:left="254" w:right="144" w:hanging="75"/>
              <w:rPr>
                <w:sz w:val="20"/>
              </w:rPr>
            </w:pPr>
            <w:r>
              <w:rPr>
                <w:sz w:val="20"/>
              </w:rPr>
              <w:t>Class of shares</w:t>
            </w:r>
          </w:p>
        </w:tc>
        <w:tc>
          <w:tcPr>
            <w:tcW w:w="1080" w:type="dxa"/>
          </w:tcPr>
          <w:p>
            <w:pPr>
              <w:pStyle w:val="TableParagraph"/>
              <w:spacing w:line="244" w:lineRule="auto"/>
              <w:ind w:left="239" w:right="224" w:firstLine="43"/>
              <w:jc w:val="both"/>
              <w:rPr>
                <w:sz w:val="20"/>
              </w:rPr>
            </w:pPr>
            <w:r>
              <w:rPr>
                <w:sz w:val="20"/>
              </w:rPr>
              <w:t>No. of shares </w:t>
            </w:r>
            <w:r>
              <w:rPr>
                <w:w w:val="95"/>
                <w:sz w:val="20"/>
              </w:rPr>
              <w:t>allotted</w:t>
            </w:r>
          </w:p>
        </w:tc>
        <w:tc>
          <w:tcPr>
            <w:tcW w:w="1541" w:type="dxa"/>
            <w:gridSpan w:val="2"/>
          </w:tcPr>
          <w:p>
            <w:pPr>
              <w:pStyle w:val="TableParagraph"/>
              <w:spacing w:line="244" w:lineRule="auto"/>
              <w:ind w:left="472" w:hanging="51"/>
              <w:rPr>
                <w:sz w:val="20"/>
              </w:rPr>
            </w:pPr>
            <w:r>
              <w:rPr>
                <w:sz w:val="20"/>
              </w:rPr>
              <w:t>Nominal amount</w:t>
            </w:r>
          </w:p>
        </w:tc>
        <w:tc>
          <w:tcPr>
            <w:tcW w:w="1188" w:type="dxa"/>
          </w:tcPr>
          <w:p>
            <w:pPr>
              <w:pStyle w:val="TableParagraph"/>
              <w:spacing w:line="244" w:lineRule="auto"/>
              <w:ind w:left="148" w:right="133" w:firstLine="1"/>
              <w:jc w:val="center"/>
              <w:rPr>
                <w:sz w:val="20"/>
              </w:rPr>
            </w:pPr>
            <w:r>
              <w:rPr>
                <w:sz w:val="20"/>
              </w:rPr>
              <w:t>Amount paid on </w:t>
            </w:r>
            <w:r>
              <w:rPr>
                <w:w w:val="95"/>
                <w:sz w:val="20"/>
              </w:rPr>
              <w:t>application </w:t>
            </w:r>
            <w:r>
              <w:rPr>
                <w:sz w:val="20"/>
              </w:rPr>
              <w:t>(excluding</w:t>
            </w:r>
          </w:p>
          <w:p>
            <w:pPr>
              <w:pStyle w:val="TableParagraph"/>
              <w:spacing w:line="214" w:lineRule="exact" w:before="2"/>
              <w:ind w:left="178" w:right="165"/>
              <w:jc w:val="center"/>
              <w:rPr>
                <w:sz w:val="20"/>
              </w:rPr>
            </w:pPr>
            <w:r>
              <w:rPr>
                <w:sz w:val="20"/>
              </w:rPr>
              <w:t>premium)</w:t>
            </w:r>
          </w:p>
        </w:tc>
        <w:tc>
          <w:tcPr>
            <w:tcW w:w="1738" w:type="dxa"/>
            <w:gridSpan w:val="2"/>
          </w:tcPr>
          <w:p>
            <w:pPr>
              <w:pStyle w:val="TableParagraph"/>
              <w:spacing w:line="244" w:lineRule="auto"/>
              <w:ind w:left="193" w:right="181" w:hanging="1"/>
              <w:jc w:val="center"/>
              <w:rPr>
                <w:sz w:val="20"/>
              </w:rPr>
            </w:pPr>
            <w:r>
              <w:rPr>
                <w:sz w:val="20"/>
              </w:rPr>
              <w:t>Amount paid or due and payable on allotment</w:t>
            </w:r>
          </w:p>
        </w:tc>
        <w:tc>
          <w:tcPr>
            <w:tcW w:w="1191" w:type="dxa"/>
          </w:tcPr>
          <w:p>
            <w:pPr>
              <w:pStyle w:val="TableParagraph"/>
              <w:spacing w:line="244" w:lineRule="auto"/>
              <w:ind w:left="116" w:right="105" w:firstLine="2"/>
              <w:jc w:val="center"/>
              <w:rPr>
                <w:sz w:val="20"/>
              </w:rPr>
            </w:pPr>
            <w:r>
              <w:rPr>
                <w:sz w:val="20"/>
              </w:rPr>
              <w:t>Amount of premium </w:t>
            </w:r>
            <w:r>
              <w:rPr>
                <w:spacing w:val="-5"/>
                <w:sz w:val="20"/>
              </w:rPr>
              <w:t>(if </w:t>
            </w:r>
            <w:r>
              <w:rPr>
                <w:sz w:val="20"/>
              </w:rPr>
              <w:t>any) payable on</w:t>
            </w:r>
          </w:p>
          <w:p>
            <w:pPr>
              <w:pStyle w:val="TableParagraph"/>
              <w:spacing w:line="214" w:lineRule="exact" w:before="2"/>
              <w:ind w:left="323" w:right="313"/>
              <w:jc w:val="center"/>
              <w:rPr>
                <w:sz w:val="20"/>
              </w:rPr>
            </w:pPr>
            <w:r>
              <w:rPr>
                <w:sz w:val="20"/>
              </w:rPr>
              <w:t>shares</w:t>
            </w:r>
          </w:p>
        </w:tc>
        <w:tc>
          <w:tcPr>
            <w:tcW w:w="1006" w:type="dxa"/>
          </w:tcPr>
          <w:p>
            <w:pPr>
              <w:pStyle w:val="TableParagraph"/>
              <w:spacing w:line="244" w:lineRule="auto"/>
              <w:ind w:left="143" w:right="129"/>
              <w:jc w:val="center"/>
              <w:rPr>
                <w:sz w:val="20"/>
              </w:rPr>
            </w:pPr>
            <w:r>
              <w:rPr>
                <w:w w:val="95"/>
                <w:sz w:val="20"/>
              </w:rPr>
              <w:t>Amount </w:t>
            </w:r>
            <w:r>
              <w:rPr>
                <w:sz w:val="20"/>
              </w:rPr>
              <w:t>of  discount (if any)</w:t>
            </w:r>
          </w:p>
        </w:tc>
      </w:tr>
      <w:tr>
        <w:trPr>
          <w:trHeight w:val="704" w:hRule="atLeast"/>
        </w:trPr>
        <w:tc>
          <w:tcPr>
            <w:tcW w:w="100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00" w:type="dxa"/>
          </w:tcPr>
          <w:p>
            <w:pPr>
              <w:pStyle w:val="TableParagraph"/>
              <w:spacing w:line="244" w:lineRule="auto"/>
              <w:ind w:left="239" w:firstLine="74"/>
              <w:rPr>
                <w:sz w:val="20"/>
              </w:rPr>
            </w:pPr>
            <w:r>
              <w:rPr>
                <w:sz w:val="20"/>
              </w:rPr>
              <w:t>Per </w:t>
            </w:r>
            <w:r>
              <w:rPr>
                <w:w w:val="95"/>
                <w:sz w:val="20"/>
              </w:rPr>
              <w:t>share</w:t>
            </w:r>
          </w:p>
        </w:tc>
        <w:tc>
          <w:tcPr>
            <w:tcW w:w="641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1188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69" w:type="dxa"/>
          </w:tcPr>
          <w:p>
            <w:pPr>
              <w:pStyle w:val="TableParagraph"/>
              <w:ind w:left="253"/>
              <w:rPr>
                <w:sz w:val="20"/>
              </w:rPr>
            </w:pPr>
            <w:r>
              <w:rPr>
                <w:sz w:val="20"/>
              </w:rPr>
              <w:t>Paid</w:t>
            </w:r>
          </w:p>
        </w:tc>
        <w:tc>
          <w:tcPr>
            <w:tcW w:w="869" w:type="dxa"/>
          </w:tcPr>
          <w:p>
            <w:pPr>
              <w:pStyle w:val="TableParagraph"/>
              <w:spacing w:line="244" w:lineRule="auto"/>
              <w:ind w:left="247" w:right="232"/>
              <w:jc w:val="center"/>
              <w:rPr>
                <w:sz w:val="20"/>
              </w:rPr>
            </w:pPr>
            <w:r>
              <w:rPr>
                <w:sz w:val="20"/>
              </w:rPr>
              <w:t>Due</w:t>
            </w:r>
            <w:r>
              <w:rPr>
                <w:w w:val="99"/>
                <w:sz w:val="20"/>
              </w:rPr>
              <w:t> </w:t>
            </w:r>
            <w:r>
              <w:rPr>
                <w:sz w:val="20"/>
              </w:rPr>
              <w:t>and</w:t>
            </w:r>
          </w:p>
          <w:p>
            <w:pPr>
              <w:pStyle w:val="TableParagraph"/>
              <w:spacing w:line="214" w:lineRule="exact" w:before="1"/>
              <w:ind w:left="102" w:right="89"/>
              <w:jc w:val="center"/>
              <w:rPr>
                <w:sz w:val="20"/>
              </w:rPr>
            </w:pPr>
            <w:r>
              <w:rPr>
                <w:sz w:val="20"/>
              </w:rPr>
              <w:t>payable</w:t>
            </w:r>
          </w:p>
        </w:tc>
        <w:tc>
          <w:tcPr>
            <w:tcW w:w="119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0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34" w:hRule="atLeast"/>
        </w:trPr>
        <w:tc>
          <w:tcPr>
            <w:tcW w:w="1008" w:type="dxa"/>
          </w:tcPr>
          <w:p>
            <w:pPr>
              <w:pStyle w:val="TableParagraph"/>
              <w:spacing w:line="214" w:lineRule="exact"/>
              <w:ind w:left="323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1</w:t>
            </w:r>
          </w:p>
        </w:tc>
        <w:tc>
          <w:tcPr>
            <w:tcW w:w="1080" w:type="dxa"/>
          </w:tcPr>
          <w:p>
            <w:pPr>
              <w:pStyle w:val="TableParagraph"/>
              <w:spacing w:line="214" w:lineRule="exact"/>
              <w:ind w:right="244"/>
              <w:jc w:val="center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2</w:t>
            </w:r>
          </w:p>
        </w:tc>
        <w:tc>
          <w:tcPr>
            <w:tcW w:w="900" w:type="dxa"/>
          </w:tcPr>
          <w:p>
            <w:pPr>
              <w:pStyle w:val="TableParagraph"/>
              <w:spacing w:line="214" w:lineRule="exact"/>
              <w:ind w:left="268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3</w:t>
            </w:r>
          </w:p>
        </w:tc>
        <w:tc>
          <w:tcPr>
            <w:tcW w:w="641" w:type="dxa"/>
          </w:tcPr>
          <w:p>
            <w:pPr>
              <w:pStyle w:val="TableParagraph"/>
              <w:spacing w:line="214" w:lineRule="exact"/>
              <w:ind w:left="138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4</w:t>
            </w:r>
          </w:p>
        </w:tc>
        <w:tc>
          <w:tcPr>
            <w:tcW w:w="1188" w:type="dxa"/>
          </w:tcPr>
          <w:p>
            <w:pPr>
              <w:pStyle w:val="TableParagraph"/>
              <w:spacing w:line="214" w:lineRule="exact"/>
              <w:ind w:right="246"/>
              <w:jc w:val="center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14" w:lineRule="exact"/>
              <w:ind w:left="253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14" w:lineRule="exact"/>
              <w:ind w:left="253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7</w:t>
            </w:r>
          </w:p>
        </w:tc>
        <w:tc>
          <w:tcPr>
            <w:tcW w:w="1191" w:type="dxa"/>
          </w:tcPr>
          <w:p>
            <w:pPr>
              <w:pStyle w:val="TableParagraph"/>
              <w:spacing w:line="214" w:lineRule="exact"/>
              <w:ind w:right="250"/>
              <w:jc w:val="center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8</w:t>
            </w:r>
          </w:p>
        </w:tc>
        <w:tc>
          <w:tcPr>
            <w:tcW w:w="1006" w:type="dxa"/>
          </w:tcPr>
          <w:p>
            <w:pPr>
              <w:pStyle w:val="TableParagraph"/>
              <w:spacing w:line="214" w:lineRule="exact"/>
              <w:ind w:left="320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9</w:t>
            </w:r>
          </w:p>
        </w:tc>
      </w:tr>
      <w:tr>
        <w:trPr>
          <w:trHeight w:val="2351" w:hRule="atLeast"/>
        </w:trPr>
        <w:tc>
          <w:tcPr>
            <w:tcW w:w="8752" w:type="dxa"/>
            <w:gridSpan w:val="9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  <w:tab w:pos="468" w:val="left" w:leader="none"/>
              </w:tabs>
              <w:spacing w:line="240" w:lineRule="auto" w:before="0" w:after="0"/>
              <w:ind w:left="46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Equity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shares</w:t>
            </w:r>
          </w:p>
          <w:p>
            <w:pPr>
              <w:pStyle w:val="TableParagraph"/>
              <w:spacing w:before="10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  <w:tab w:pos="468" w:val="left" w:leader="none"/>
              </w:tabs>
              <w:spacing w:line="244" w:lineRule="auto" w:before="0" w:after="0"/>
              <w:ind w:left="467" w:right="6865" w:hanging="360"/>
              <w:jc w:val="left"/>
              <w:rPr>
                <w:sz w:val="20"/>
              </w:rPr>
            </w:pPr>
            <w:r>
              <w:rPr>
                <w:sz w:val="20"/>
              </w:rPr>
              <w:t>Preference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shares other than redeemable preference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shares</w:t>
            </w:r>
          </w:p>
          <w:p>
            <w:pPr>
              <w:pStyle w:val="TableParagraph"/>
              <w:spacing w:before="8"/>
              <w:rPr>
                <w:sz w:val="20"/>
              </w:rPr>
            </w:pP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7" w:val="left" w:leader="none"/>
                <w:tab w:pos="468" w:val="left" w:leader="none"/>
              </w:tabs>
              <w:spacing w:line="244" w:lineRule="auto" w:before="0" w:after="0"/>
              <w:ind w:left="467" w:right="6877" w:hanging="360"/>
              <w:jc w:val="left"/>
              <w:rPr>
                <w:sz w:val="20"/>
              </w:rPr>
            </w:pPr>
            <w:r>
              <w:rPr>
                <w:sz w:val="20"/>
              </w:rPr>
              <w:t>Redeemable preference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shares</w:t>
            </w:r>
          </w:p>
        </w:tc>
      </w:tr>
    </w:tbl>
    <w:p>
      <w:pPr>
        <w:pStyle w:val="BodyText"/>
        <w:spacing w:before="0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195" w:after="0"/>
        <w:ind w:left="371" w:right="0" w:hanging="153"/>
        <w:jc w:val="left"/>
        <w:rPr>
          <w:sz w:val="20"/>
        </w:rPr>
      </w:pPr>
      <w:r>
        <w:rPr>
          <w:sz w:val="20"/>
        </w:rPr>
        <w:t>Shares allotted for a consideration otherwise than in</w:t>
      </w:r>
      <w:r>
        <w:rPr>
          <w:spacing w:val="-6"/>
          <w:sz w:val="20"/>
        </w:rPr>
        <w:t> </w:t>
      </w:r>
      <w:r>
        <w:rPr>
          <w:sz w:val="20"/>
        </w:rPr>
        <w:t>chash:</w:t>
      </w:r>
    </w:p>
    <w:p>
      <w:pPr>
        <w:pStyle w:val="ListParagraph"/>
        <w:numPr>
          <w:ilvl w:val="1"/>
          <w:numId w:val="1"/>
        </w:numPr>
        <w:tabs>
          <w:tab w:pos="1371" w:val="left" w:leader="none"/>
          <w:tab w:pos="1372" w:val="left" w:leader="none"/>
        </w:tabs>
        <w:spacing w:line="240" w:lineRule="auto" w:before="5" w:after="0"/>
        <w:ind w:left="1372" w:right="0" w:hanging="433"/>
        <w:jc w:val="left"/>
        <w:rPr>
          <w:sz w:val="20"/>
        </w:rPr>
      </w:pPr>
      <w:r>
        <w:rPr>
          <w:sz w:val="20"/>
        </w:rPr>
        <w:t>Equity</w:t>
      </w:r>
      <w:r>
        <w:rPr>
          <w:spacing w:val="-5"/>
          <w:sz w:val="20"/>
        </w:rPr>
        <w:t> </w:t>
      </w:r>
      <w:r>
        <w:rPr>
          <w:sz w:val="20"/>
        </w:rPr>
        <w:t>shares</w:t>
      </w:r>
    </w:p>
    <w:p>
      <w:pPr>
        <w:pStyle w:val="ListParagraph"/>
        <w:numPr>
          <w:ilvl w:val="1"/>
          <w:numId w:val="1"/>
        </w:numPr>
        <w:tabs>
          <w:tab w:pos="1372" w:val="left" w:leader="none"/>
        </w:tabs>
        <w:spacing w:line="240" w:lineRule="auto" w:before="5" w:after="0"/>
        <w:ind w:left="1372" w:right="0" w:hanging="433"/>
        <w:jc w:val="left"/>
        <w:rPr>
          <w:sz w:val="20"/>
        </w:rPr>
      </w:pPr>
      <w:r>
        <w:rPr>
          <w:sz w:val="20"/>
        </w:rPr>
        <w:t>Preference</w:t>
      </w:r>
      <w:r>
        <w:rPr>
          <w:spacing w:val="-1"/>
          <w:sz w:val="20"/>
        </w:rPr>
        <w:t> </w:t>
      </w:r>
      <w:r>
        <w:rPr>
          <w:sz w:val="20"/>
        </w:rPr>
        <w:t>shares</w:t>
      </w:r>
    </w:p>
    <w:p>
      <w:pPr>
        <w:pStyle w:val="ListParagraph"/>
        <w:numPr>
          <w:ilvl w:val="1"/>
          <w:numId w:val="1"/>
        </w:numPr>
        <w:tabs>
          <w:tab w:pos="1372" w:val="left" w:leader="none"/>
        </w:tabs>
        <w:spacing w:line="244" w:lineRule="auto" w:before="5" w:after="0"/>
        <w:ind w:left="219" w:right="5901" w:firstLine="720"/>
        <w:jc w:val="left"/>
        <w:rPr>
          <w:sz w:val="20"/>
        </w:rPr>
      </w:pPr>
      <w:r>
        <w:rPr>
          <w:sz w:val="20"/>
        </w:rPr>
        <w:t>Redeemable preference</w:t>
      </w:r>
      <w:r>
        <w:rPr>
          <w:spacing w:val="-17"/>
          <w:sz w:val="20"/>
        </w:rPr>
        <w:t> </w:t>
      </w:r>
      <w:r>
        <w:rPr>
          <w:sz w:val="20"/>
        </w:rPr>
        <w:t>shares Number of</w:t>
      </w:r>
      <w:r>
        <w:rPr>
          <w:spacing w:val="-2"/>
          <w:sz w:val="20"/>
        </w:rPr>
        <w:t> </w:t>
      </w:r>
      <w:r>
        <w:rPr>
          <w:sz w:val="20"/>
        </w:rPr>
        <w:t>shares**</w:t>
      </w:r>
    </w:p>
    <w:p>
      <w:pPr>
        <w:pStyle w:val="BodyText"/>
        <w:tabs>
          <w:tab w:pos="5459" w:val="left" w:leader="none"/>
        </w:tabs>
        <w:spacing w:before="2"/>
        <w:ind w:left="219"/>
      </w:pPr>
      <w:r>
        <w:rPr/>
        <w:t>Nominal amount</w:t>
      </w:r>
      <w:r>
        <w:rPr>
          <w:spacing w:val="-10"/>
        </w:rPr>
        <w:t> </w:t>
      </w:r>
      <w:r>
        <w:rPr/>
        <w:t>of</w:t>
      </w:r>
      <w:r>
        <w:rPr>
          <w:spacing w:val="-7"/>
        </w:rPr>
        <w:t> </w:t>
      </w:r>
      <w:r>
        <w:rPr/>
        <w:t>shares.s.</w:t>
        <w:tab/>
        <w:t>Rs.</w:t>
      </w:r>
    </w:p>
    <w:p>
      <w:pPr>
        <w:pStyle w:val="BodyText"/>
        <w:tabs>
          <w:tab w:pos="5459" w:val="left" w:leader="none"/>
        </w:tabs>
        <w:ind w:left="219"/>
      </w:pPr>
      <w:r>
        <w:rPr/>
        <w:t>Amount  to be treated as paid-up on</w:t>
      </w:r>
      <w:r>
        <w:rPr>
          <w:spacing w:val="-21"/>
        </w:rPr>
        <w:t> </w:t>
      </w:r>
      <w:r>
        <w:rPr/>
        <w:t>each</w:t>
      </w:r>
      <w:r>
        <w:rPr>
          <w:spacing w:val="-3"/>
        </w:rPr>
        <w:t> </w:t>
      </w:r>
      <w:r>
        <w:rPr/>
        <w:t>share.</w:t>
        <w:tab/>
        <w:t>Rs.</w:t>
      </w:r>
    </w:p>
    <w:p>
      <w:pPr>
        <w:pStyle w:val="BodyText"/>
        <w:spacing w:line="244" w:lineRule="auto"/>
        <w:ind w:left="219" w:right="4419"/>
      </w:pPr>
      <w:r>
        <w:rPr/>
        <w:t>The consideration for which such shares have been allotted is as follows:--</w:t>
      </w:r>
    </w:p>
    <w:p>
      <w:pPr>
        <w:pStyle w:val="BodyText"/>
        <w:tabs>
          <w:tab w:pos="5459" w:val="left" w:leader="none"/>
        </w:tabs>
        <w:spacing w:before="1"/>
        <w:ind w:left="219"/>
      </w:pPr>
      <w:r>
        <w:rPr/>
        <w:t>Property and assets acquired</w:t>
      </w:r>
      <w:r>
        <w:rPr>
          <w:spacing w:val="-15"/>
        </w:rPr>
        <w:t> </w:t>
      </w:r>
      <w:r>
        <w:rPr/>
        <w:t>(Description)</w:t>
      </w:r>
      <w:r>
        <w:rPr>
          <w:spacing w:val="-2"/>
        </w:rPr>
        <w:t> </w:t>
      </w:r>
      <w:r>
        <w:rPr/>
        <w:t>.</w:t>
        <w:tab/>
        <w:t>Rs.</w:t>
      </w:r>
    </w:p>
    <w:p>
      <w:pPr>
        <w:pStyle w:val="BodyText"/>
        <w:tabs>
          <w:tab w:pos="5459" w:val="left" w:leader="none"/>
        </w:tabs>
        <w:ind w:left="219"/>
      </w:pPr>
      <w:r>
        <w:rPr/>
        <w:t>Goodwill.</w:t>
        <w:tab/>
        <w:t>Rs.</w:t>
      </w:r>
    </w:p>
    <w:p>
      <w:pPr>
        <w:pStyle w:val="BodyText"/>
        <w:tabs>
          <w:tab w:pos="5459" w:val="left" w:leader="none"/>
        </w:tabs>
        <w:spacing w:before="6"/>
        <w:ind w:left="219"/>
      </w:pPr>
      <w:r>
        <w:rPr/>
        <w:t>Services (give nature</w:t>
      </w:r>
      <w:r>
        <w:rPr>
          <w:spacing w:val="-15"/>
        </w:rPr>
        <w:t> </w:t>
      </w:r>
      <w:r>
        <w:rPr/>
        <w:t>of</w:t>
      </w:r>
      <w:r>
        <w:rPr>
          <w:spacing w:val="-6"/>
        </w:rPr>
        <w:t> </w:t>
      </w:r>
      <w:r>
        <w:rPr/>
        <w:t>services).</w:t>
        <w:tab/>
        <w:t>Rs.</w:t>
      </w:r>
    </w:p>
    <w:p>
      <w:pPr>
        <w:pStyle w:val="BodyText"/>
        <w:tabs>
          <w:tab w:pos="5459" w:val="left" w:leader="none"/>
        </w:tabs>
        <w:ind w:left="219"/>
      </w:pPr>
      <w:r>
        <w:rPr/>
        <w:t>Other items (to</w:t>
      </w:r>
      <w:r>
        <w:rPr>
          <w:spacing w:val="-9"/>
        </w:rPr>
        <w:t> </w:t>
      </w:r>
      <w:r>
        <w:rPr/>
        <w:t>be</w:t>
      </w:r>
      <w:r>
        <w:rPr>
          <w:spacing w:val="-3"/>
        </w:rPr>
        <w:t> </w:t>
      </w:r>
      <w:r>
        <w:rPr/>
        <w:t>specified).</w:t>
        <w:tab/>
        <w:t>Rs.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361"/>
        <w:jc w:val="left"/>
        <w:rPr>
          <w:i/>
          <w:sz w:val="20"/>
        </w:rPr>
      </w:pPr>
      <w:r>
        <w:rPr>
          <w:i/>
          <w:sz w:val="20"/>
        </w:rPr>
        <w:t>Shares issued at a discount --- Number of shares</w:t>
      </w:r>
    </w:p>
    <w:p>
      <w:pPr>
        <w:pStyle w:val="BodyText"/>
        <w:spacing w:line="244" w:lineRule="auto"/>
        <w:ind w:left="579" w:right="6708"/>
      </w:pPr>
      <w:r>
        <w:rPr/>
        <w:t>Nominal amount of shares Amount of discount per share Paid-up per share</w:t>
      </w:r>
    </w:p>
    <w:p>
      <w:pPr>
        <w:spacing w:after="0" w:line="244" w:lineRule="auto"/>
        <w:sectPr>
          <w:type w:val="continuous"/>
          <w:pgSz w:w="12240" w:h="15840"/>
          <w:pgMar w:top="1360" w:bottom="280" w:left="1580" w:right="960"/>
        </w:sectPr>
      </w:pPr>
    </w:p>
    <w:p>
      <w:pPr>
        <w:pStyle w:val="BodyText"/>
        <w:spacing w:line="244" w:lineRule="auto" w:before="80"/>
        <w:ind w:left="219" w:right="3191"/>
      </w:pPr>
      <w:r>
        <w:rPr/>
        <w:t>(A copy of the resolution for the issue of the shares at a discount with a copy of the order of the court and also a copy of the order of the Central Government where the discount exceeds 10 per cent should be attached to this return.)</w:t>
      </w:r>
    </w:p>
    <w:p>
      <w:pPr>
        <w:pStyle w:val="ListParagraph"/>
        <w:numPr>
          <w:ilvl w:val="0"/>
          <w:numId w:val="1"/>
        </w:numPr>
        <w:tabs>
          <w:tab w:pos="579" w:val="left" w:leader="none"/>
          <w:tab w:pos="580" w:val="left" w:leader="none"/>
        </w:tabs>
        <w:spacing w:line="244" w:lineRule="auto" w:before="3" w:after="0"/>
        <w:ind w:left="219" w:right="7178" w:firstLine="0"/>
        <w:jc w:val="left"/>
        <w:rPr>
          <w:sz w:val="20"/>
        </w:rPr>
      </w:pPr>
      <w:r>
        <w:rPr>
          <w:sz w:val="20"/>
        </w:rPr>
        <w:t>Number of bonus</w:t>
      </w:r>
      <w:r>
        <w:rPr>
          <w:spacing w:val="-18"/>
          <w:sz w:val="20"/>
        </w:rPr>
        <w:t> </w:t>
      </w:r>
      <w:r>
        <w:rPr>
          <w:sz w:val="20"/>
        </w:rPr>
        <w:t>shares Nominal amount of</w:t>
      </w:r>
      <w:r>
        <w:rPr>
          <w:spacing w:val="-12"/>
          <w:sz w:val="20"/>
        </w:rPr>
        <w:t> </w:t>
      </w:r>
      <w:r>
        <w:rPr>
          <w:sz w:val="20"/>
        </w:rPr>
        <w:t>shares</w:t>
      </w:r>
    </w:p>
    <w:p>
      <w:pPr>
        <w:pStyle w:val="BodyText"/>
        <w:tabs>
          <w:tab w:pos="6699" w:val="left" w:leader="none"/>
        </w:tabs>
        <w:spacing w:before="1"/>
        <w:ind w:left="219"/>
      </w:pPr>
      <w:r>
        <w:rPr/>
        <w:t>Amount to be treated as paid –up on</w:t>
      </w:r>
      <w:r>
        <w:rPr>
          <w:spacing w:val="-18"/>
        </w:rPr>
        <w:t> </w:t>
      </w:r>
      <w:r>
        <w:rPr/>
        <w:t>each</w:t>
      </w:r>
      <w:r>
        <w:rPr>
          <w:spacing w:val="-4"/>
        </w:rPr>
        <w:t> </w:t>
      </w:r>
      <w:r>
        <w:rPr/>
        <w:t>share</w:t>
        <w:tab/>
        <w:t>Rs.</w:t>
      </w:r>
    </w:p>
    <w:p>
      <w:pPr>
        <w:pStyle w:val="BodyText"/>
        <w:ind w:left="219"/>
      </w:pPr>
      <w:r>
        <w:rPr/>
        <w:t>[A copy of the resolution authorising the issue of the bonus shares should be attached to this return.]</w:t>
      </w:r>
    </w:p>
    <w:p>
      <w:pPr>
        <w:spacing w:before="5"/>
        <w:ind w:left="939" w:right="0" w:firstLine="0"/>
        <w:jc w:val="left"/>
        <w:rPr>
          <w:i/>
          <w:sz w:val="20"/>
        </w:rPr>
      </w:pPr>
      <w:r>
        <w:rPr>
          <w:i/>
          <w:sz w:val="20"/>
        </w:rPr>
        <w:t>Names. Addresses, and occupations of the allottees.</w:t>
      </w:r>
    </w:p>
    <w:p>
      <w:pPr>
        <w:pStyle w:val="BodyText"/>
        <w:spacing w:before="10"/>
        <w:rPr>
          <w:i/>
        </w:rPr>
      </w:pPr>
    </w:p>
    <w:tbl>
      <w:tblPr>
        <w:tblW w:w="0" w:type="auto"/>
        <w:jc w:val="left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0"/>
        <w:gridCol w:w="989"/>
        <w:gridCol w:w="1800"/>
        <w:gridCol w:w="1450"/>
        <w:gridCol w:w="2700"/>
        <w:gridCol w:w="1440"/>
      </w:tblGrid>
      <w:tr>
        <w:trPr>
          <w:trHeight w:val="704" w:hRule="atLeast"/>
        </w:trPr>
        <w:tc>
          <w:tcPr>
            <w:tcW w:w="1090" w:type="dxa"/>
          </w:tcPr>
          <w:p>
            <w:pPr>
              <w:pStyle w:val="TableParagraph"/>
              <w:spacing w:line="244" w:lineRule="auto"/>
              <w:ind w:left="170" w:firstLine="76"/>
              <w:rPr>
                <w:sz w:val="20"/>
              </w:rPr>
            </w:pPr>
            <w:r>
              <w:rPr>
                <w:sz w:val="20"/>
              </w:rPr>
              <w:t>Date of allotment</w:t>
            </w:r>
          </w:p>
        </w:tc>
        <w:tc>
          <w:tcPr>
            <w:tcW w:w="989" w:type="dxa"/>
          </w:tcPr>
          <w:p>
            <w:pPr>
              <w:pStyle w:val="TableParagraph"/>
              <w:spacing w:line="244" w:lineRule="auto"/>
              <w:ind w:left="200" w:hanging="51"/>
              <w:rPr>
                <w:sz w:val="20"/>
              </w:rPr>
            </w:pPr>
            <w:r>
              <w:rPr>
                <w:sz w:val="20"/>
              </w:rPr>
              <w:t>Name of allottee</w:t>
            </w:r>
          </w:p>
          <w:p>
            <w:pPr>
              <w:pStyle w:val="TableParagraph"/>
              <w:spacing w:line="214" w:lineRule="exact" w:before="1"/>
              <w:ind w:left="256"/>
              <w:rPr>
                <w:sz w:val="20"/>
              </w:rPr>
            </w:pPr>
            <w:r>
              <w:rPr>
                <w:sz w:val="20"/>
              </w:rPr>
              <w:t>in full</w:t>
            </w:r>
          </w:p>
        </w:tc>
        <w:tc>
          <w:tcPr>
            <w:tcW w:w="1800" w:type="dxa"/>
          </w:tcPr>
          <w:p>
            <w:pPr>
              <w:pStyle w:val="TableParagraph"/>
              <w:spacing w:line="244" w:lineRule="auto"/>
              <w:ind w:left="205" w:right="193" w:hanging="1"/>
              <w:jc w:val="center"/>
              <w:rPr>
                <w:sz w:val="20"/>
              </w:rPr>
            </w:pPr>
            <w:r>
              <w:rPr>
                <w:sz w:val="20"/>
              </w:rPr>
              <w:t>Address and occupation of </w:t>
            </w:r>
            <w:r>
              <w:rPr>
                <w:spacing w:val="-5"/>
                <w:sz w:val="20"/>
              </w:rPr>
              <w:t>the</w:t>
            </w:r>
          </w:p>
          <w:p>
            <w:pPr>
              <w:pStyle w:val="TableParagraph"/>
              <w:spacing w:line="214" w:lineRule="exact" w:before="1"/>
              <w:ind w:left="583" w:right="573"/>
              <w:jc w:val="center"/>
              <w:rPr>
                <w:sz w:val="20"/>
              </w:rPr>
            </w:pPr>
            <w:r>
              <w:rPr>
                <w:sz w:val="20"/>
              </w:rPr>
              <w:t>allottee</w:t>
            </w:r>
          </w:p>
        </w:tc>
        <w:tc>
          <w:tcPr>
            <w:tcW w:w="5590" w:type="dxa"/>
            <w:gridSpan w:val="3"/>
          </w:tcPr>
          <w:p>
            <w:pPr>
              <w:pStyle w:val="TableParagraph"/>
              <w:ind w:left="1760"/>
              <w:rPr>
                <w:sz w:val="20"/>
              </w:rPr>
            </w:pPr>
            <w:r>
              <w:rPr>
                <w:sz w:val="20"/>
              </w:rPr>
              <w:t>Number of shares allotted</w:t>
            </w:r>
          </w:p>
        </w:tc>
      </w:tr>
      <w:tr>
        <w:trPr>
          <w:trHeight w:val="704" w:hRule="atLeast"/>
        </w:trPr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ind w:left="438" w:right="422"/>
              <w:jc w:val="center"/>
              <w:rPr>
                <w:sz w:val="20"/>
              </w:rPr>
            </w:pPr>
            <w:r>
              <w:rPr>
                <w:sz w:val="20"/>
              </w:rPr>
              <w:t>Equity</w:t>
            </w:r>
          </w:p>
        </w:tc>
        <w:tc>
          <w:tcPr>
            <w:tcW w:w="2700" w:type="dxa"/>
          </w:tcPr>
          <w:p>
            <w:pPr>
              <w:pStyle w:val="TableParagraph"/>
              <w:spacing w:line="244" w:lineRule="auto"/>
              <w:ind w:left="169" w:firstLine="52"/>
              <w:rPr>
                <w:sz w:val="20"/>
              </w:rPr>
            </w:pPr>
            <w:r>
              <w:rPr>
                <w:sz w:val="20"/>
              </w:rPr>
              <w:t>Preference shares other than redeemable preference shares</w:t>
            </w:r>
          </w:p>
        </w:tc>
        <w:tc>
          <w:tcPr>
            <w:tcW w:w="1440" w:type="dxa"/>
          </w:tcPr>
          <w:p>
            <w:pPr>
              <w:pStyle w:val="TableParagraph"/>
              <w:ind w:left="296" w:hanging="70"/>
              <w:rPr>
                <w:sz w:val="20"/>
              </w:rPr>
            </w:pPr>
            <w:r>
              <w:rPr>
                <w:sz w:val="20"/>
              </w:rPr>
              <w:t>Redeemable</w:t>
            </w:r>
          </w:p>
          <w:p>
            <w:pPr>
              <w:pStyle w:val="TableParagraph"/>
              <w:spacing w:line="230" w:lineRule="atLeast" w:before="5"/>
              <w:ind w:left="469" w:hanging="173"/>
              <w:rPr>
                <w:sz w:val="20"/>
              </w:rPr>
            </w:pPr>
            <w:r>
              <w:rPr>
                <w:w w:val="95"/>
                <w:sz w:val="20"/>
              </w:rPr>
              <w:t>preference </w:t>
            </w:r>
            <w:r>
              <w:rPr>
                <w:sz w:val="20"/>
              </w:rPr>
              <w:t>shares</w:t>
            </w:r>
          </w:p>
        </w:tc>
      </w:tr>
      <w:tr>
        <w:trPr>
          <w:trHeight w:val="234" w:hRule="atLeast"/>
        </w:trPr>
        <w:tc>
          <w:tcPr>
            <w:tcW w:w="1090" w:type="dxa"/>
          </w:tcPr>
          <w:p>
            <w:pPr>
              <w:pStyle w:val="TableParagraph"/>
              <w:spacing w:line="214" w:lineRule="exact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89" w:type="dxa"/>
          </w:tcPr>
          <w:p>
            <w:pPr>
              <w:pStyle w:val="TableParagraph"/>
              <w:spacing w:line="214" w:lineRule="exact"/>
              <w:ind w:left="12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800" w:type="dxa"/>
          </w:tcPr>
          <w:p>
            <w:pPr>
              <w:pStyle w:val="TableParagraph"/>
              <w:spacing w:line="214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450" w:type="dxa"/>
          </w:tcPr>
          <w:p>
            <w:pPr>
              <w:pStyle w:val="TableParagraph"/>
              <w:spacing w:line="214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2700" w:type="dxa"/>
          </w:tcPr>
          <w:p>
            <w:pPr>
              <w:pStyle w:val="TableParagraph"/>
              <w:spacing w:line="214" w:lineRule="exact"/>
              <w:ind w:left="8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440" w:type="dxa"/>
          </w:tcPr>
          <w:p>
            <w:pPr>
              <w:pStyle w:val="TableParagraph"/>
              <w:spacing w:line="214" w:lineRule="exact"/>
              <w:ind w:left="11"/>
              <w:jc w:val="center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</w:tr>
      <w:tr>
        <w:trPr>
          <w:trHeight w:val="2116" w:hRule="atLeast"/>
        </w:trPr>
        <w:tc>
          <w:tcPr>
            <w:tcW w:w="109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8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8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5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0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44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0"/>
        <w:rPr>
          <w:i/>
          <w:sz w:val="12"/>
        </w:rPr>
      </w:pPr>
    </w:p>
    <w:p>
      <w:pPr>
        <w:spacing w:after="0"/>
        <w:rPr>
          <w:sz w:val="12"/>
        </w:rPr>
        <w:sectPr>
          <w:pgSz w:w="12240" w:h="15840"/>
          <w:pgMar w:top="1360" w:bottom="280" w:left="1580" w:right="960"/>
        </w:sectPr>
      </w:pPr>
    </w:p>
    <w:p>
      <w:pPr>
        <w:pStyle w:val="BodyText"/>
        <w:tabs>
          <w:tab w:pos="2928" w:val="left" w:leader="none"/>
          <w:tab w:pos="3150" w:val="left" w:leader="none"/>
          <w:tab w:pos="5088" w:val="left" w:leader="none"/>
          <w:tab w:pos="5310" w:val="left" w:leader="none"/>
          <w:tab w:pos="6240" w:val="left" w:leader="none"/>
        </w:tabs>
        <w:spacing w:before="97"/>
        <w:ind w:left="219"/>
      </w:pPr>
      <w:r>
        <w:rPr/>
        <w:t>Dated</w:t>
      </w:r>
      <w:r>
        <w:rPr>
          <w:spacing w:val="-2"/>
        </w:rPr>
        <w:t> </w:t>
      </w:r>
      <w:r>
        <w:rPr/>
        <w:t>the</w:t>
      </w:r>
      <w:r>
        <w:rPr>
          <w:u w:val="dotted"/>
        </w:rPr>
        <w:t> </w:t>
        <w:tab/>
      </w:r>
      <w:r>
        <w:rPr/>
        <w:tab/>
        <w:t>Day</w:t>
      </w:r>
      <w:r>
        <w:rPr>
          <w:spacing w:val="-4"/>
        </w:rPr>
        <w:t> </w:t>
      </w:r>
      <w:r>
        <w:rPr/>
        <w:t>of</w:t>
      </w:r>
      <w:r>
        <w:rPr>
          <w:u w:val="dotted"/>
        </w:rPr>
        <w:t> </w:t>
        <w:tab/>
      </w:r>
      <w:r>
        <w:rPr/>
        <w:tab/>
      </w:r>
      <w:r>
        <w:rPr>
          <w:spacing w:val="-17"/>
        </w:rPr>
        <w:t>19</w:t>
      </w:r>
      <w:r>
        <w:rPr>
          <w:u w:val="dotted"/>
        </w:rPr>
        <w:t> </w:t>
        <w:tab/>
      </w: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11"/>
        <w:rPr>
          <w:sz w:val="30"/>
        </w:rPr>
      </w:pPr>
    </w:p>
    <w:p>
      <w:pPr>
        <w:pStyle w:val="Heading1"/>
        <w:ind w:left="219"/>
        <w:jc w:val="left"/>
      </w:pPr>
      <w:r>
        <w:rPr/>
        <w:t>Notes</w:t>
      </w:r>
    </w:p>
    <w:p>
      <w:pPr>
        <w:pStyle w:val="BodyText"/>
        <w:spacing w:before="0"/>
        <w:rPr>
          <w:b/>
        </w:rPr>
      </w:pPr>
      <w:r>
        <w:rPr/>
        <w:br w:type="column"/>
      </w:r>
      <w:r>
        <w:rPr>
          <w:b/>
        </w:rPr>
      </w:r>
    </w:p>
    <w:p>
      <w:pPr>
        <w:pStyle w:val="BodyText"/>
        <w:spacing w:before="3"/>
        <w:rPr>
          <w:b/>
          <w:sz w:val="23"/>
        </w:rPr>
      </w:pPr>
    </w:p>
    <w:p>
      <w:pPr>
        <w:pStyle w:val="BodyText"/>
        <w:spacing w:line="20" w:lineRule="exact" w:before="0"/>
        <w:ind w:left="-433"/>
        <w:rPr>
          <w:sz w:val="2"/>
        </w:rPr>
      </w:pPr>
      <w:r>
        <w:rPr>
          <w:sz w:val="2"/>
        </w:rPr>
        <w:pict>
          <v:group style="width:100.8pt;height:.5pt;mso-position-horizontal-relative:char;mso-position-vertical-relative:line" coordorigin="0,0" coordsize="2016,10">
            <v:line style="position:absolute" from="0,5" to="2016,5" stroked="true" strokeweight=".499992pt" strokecolor="#000000">
              <v:stroke dashstyle="dot"/>
            </v:line>
          </v:group>
        </w:pict>
      </w:r>
      <w:r>
        <w:rPr>
          <w:sz w:val="2"/>
        </w:rPr>
      </w:r>
    </w:p>
    <w:p>
      <w:pPr>
        <w:pStyle w:val="BodyText"/>
        <w:spacing w:line="491" w:lineRule="auto" w:before="50"/>
        <w:ind w:left="270" w:right="568" w:hanging="51"/>
      </w:pPr>
      <w:r>
        <w:rPr/>
        <w:pict>
          <v:line style="position:absolute;mso-position-horizontal-relative:page;mso-position-vertical-relative:paragraph;z-index:-15867904" from="417.599976pt,20.235792pt" to="518.399973pt,20.355792pt" stroked="true" strokeweight=".499992pt" strokecolor="#000000">
            <v:stroke dashstyle="dot"/>
            <w10:wrap type="none"/>
          </v:line>
        </w:pict>
      </w:r>
      <w:r>
        <w:rPr/>
        <w:t>Signature Designation</w:t>
      </w:r>
    </w:p>
    <w:p>
      <w:pPr>
        <w:spacing w:after="0" w:line="491" w:lineRule="auto"/>
        <w:sectPr>
          <w:type w:val="continuous"/>
          <w:pgSz w:w="12240" w:h="15840"/>
          <w:pgMar w:top="1360" w:bottom="280" w:left="1580" w:right="960"/>
          <w:cols w:num="2" w:equalWidth="0">
            <w:col w:w="6281" w:space="919"/>
            <w:col w:w="2500"/>
          </w:cols>
        </w:sectPr>
      </w:pPr>
    </w:p>
    <w:p>
      <w:pPr>
        <w:pStyle w:val="BodyText"/>
        <w:spacing w:before="0"/>
        <w:rPr>
          <w:sz w:val="12"/>
        </w:rPr>
      </w:pPr>
    </w:p>
    <w:p>
      <w:pPr>
        <w:pStyle w:val="ListParagraph"/>
        <w:numPr>
          <w:ilvl w:val="0"/>
          <w:numId w:val="3"/>
        </w:numPr>
        <w:tabs>
          <w:tab w:pos="579" w:val="left" w:leader="none"/>
          <w:tab w:pos="580" w:val="left" w:leader="none"/>
        </w:tabs>
        <w:spacing w:line="244" w:lineRule="auto" w:before="98" w:after="0"/>
        <w:ind w:left="579" w:right="1171" w:hanging="360"/>
        <w:jc w:val="left"/>
        <w:rPr>
          <w:sz w:val="20"/>
        </w:rPr>
      </w:pPr>
      <w:r>
        <w:rPr>
          <w:sz w:val="20"/>
        </w:rPr>
        <w:t>When a return includes several allotments made on different dates, the actual dates of all such allotments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</w:t>
      </w:r>
      <w:r>
        <w:rPr>
          <w:spacing w:val="-4"/>
          <w:sz w:val="20"/>
        </w:rPr>
        <w:t> </w:t>
      </w:r>
      <w:r>
        <w:rPr>
          <w:sz w:val="20"/>
        </w:rPr>
        <w:t>entered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front</w:t>
      </w:r>
      <w:r>
        <w:rPr>
          <w:spacing w:val="-3"/>
          <w:sz w:val="20"/>
        </w:rPr>
        <w:t> </w:t>
      </w:r>
      <w:r>
        <w:rPr>
          <w:sz w:val="20"/>
        </w:rPr>
        <w:t>page,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registration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return</w:t>
      </w:r>
      <w:r>
        <w:rPr>
          <w:spacing w:val="-5"/>
          <w:sz w:val="20"/>
        </w:rPr>
        <w:t> </w:t>
      </w:r>
      <w:r>
        <w:rPr>
          <w:sz w:val="20"/>
        </w:rPr>
        <w:t>should</w:t>
      </w:r>
      <w:r>
        <w:rPr>
          <w:spacing w:val="-3"/>
          <w:sz w:val="20"/>
        </w:rPr>
        <w:t> </w:t>
      </w:r>
      <w:r>
        <w:rPr>
          <w:sz w:val="20"/>
        </w:rPr>
        <w:t>be effected within one month of the first</w:t>
      </w:r>
      <w:r>
        <w:rPr>
          <w:spacing w:val="-6"/>
          <w:sz w:val="20"/>
        </w:rPr>
        <w:t> </w:t>
      </w:r>
      <w:r>
        <w:rPr>
          <w:sz w:val="20"/>
        </w:rPr>
        <w:t>date.</w:t>
      </w:r>
    </w:p>
    <w:p>
      <w:pPr>
        <w:pStyle w:val="ListParagraph"/>
        <w:numPr>
          <w:ilvl w:val="0"/>
          <w:numId w:val="3"/>
        </w:numPr>
        <w:tabs>
          <w:tab w:pos="579" w:val="left" w:leader="none"/>
          <w:tab w:pos="580" w:val="left" w:leader="none"/>
        </w:tabs>
        <w:spacing w:line="244" w:lineRule="auto" w:before="2" w:after="0"/>
        <w:ind w:left="579" w:right="1201" w:hanging="360"/>
        <w:jc w:val="left"/>
        <w:rPr>
          <w:sz w:val="20"/>
        </w:rPr>
      </w:pPr>
      <w:r>
        <w:rPr>
          <w:sz w:val="20"/>
        </w:rPr>
        <w:t>A certificate signed by Director, Managing Director, Manager of Secretary to the effect that the conditions, if any, imposed by the Controller of Capital Issues [since abolished] in the order consenting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issue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capital</w:t>
      </w:r>
      <w:r>
        <w:rPr>
          <w:spacing w:val="-4"/>
          <w:sz w:val="20"/>
        </w:rPr>
        <w:t> </w:t>
      </w:r>
      <w:r>
        <w:rPr>
          <w:sz w:val="20"/>
        </w:rPr>
        <w:t>represented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shares</w:t>
      </w:r>
      <w:r>
        <w:rPr>
          <w:spacing w:val="-5"/>
          <w:sz w:val="20"/>
        </w:rPr>
        <w:t> </w:t>
      </w:r>
      <w:r>
        <w:rPr>
          <w:sz w:val="20"/>
        </w:rPr>
        <w:t>comprised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5"/>
          <w:sz w:val="20"/>
        </w:rPr>
        <w:t> </w:t>
      </w:r>
      <w:r>
        <w:rPr>
          <w:sz w:val="20"/>
        </w:rPr>
        <w:t>return,</w:t>
      </w:r>
      <w:r>
        <w:rPr>
          <w:spacing w:val="-3"/>
          <w:sz w:val="20"/>
        </w:rPr>
        <w:t> </w:t>
      </w:r>
      <w:r>
        <w:rPr>
          <w:sz w:val="20"/>
        </w:rPr>
        <w:t>have</w:t>
      </w:r>
      <w:r>
        <w:rPr>
          <w:spacing w:val="-5"/>
          <w:sz w:val="20"/>
        </w:rPr>
        <w:t> </w:t>
      </w:r>
      <w:r>
        <w:rPr>
          <w:sz w:val="20"/>
        </w:rPr>
        <w:t>been</w:t>
      </w:r>
      <w:r>
        <w:rPr>
          <w:spacing w:val="-5"/>
          <w:sz w:val="20"/>
        </w:rPr>
        <w:t> </w:t>
      </w:r>
      <w:r>
        <w:rPr>
          <w:sz w:val="20"/>
        </w:rPr>
        <w:t>duly complied with, shall accompany this</w:t>
      </w:r>
      <w:r>
        <w:rPr>
          <w:spacing w:val="-6"/>
          <w:sz w:val="20"/>
        </w:rPr>
        <w:t> </w:t>
      </w:r>
      <w:r>
        <w:rPr>
          <w:sz w:val="20"/>
        </w:rPr>
        <w:t>return.</w:t>
      </w:r>
    </w:p>
    <w:p>
      <w:pPr>
        <w:pStyle w:val="BodyText"/>
        <w:spacing w:before="0"/>
        <w:rPr>
          <w:sz w:val="24"/>
        </w:rPr>
      </w:pP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197" w:after="0"/>
        <w:ind w:left="580" w:right="0" w:hanging="361"/>
        <w:jc w:val="left"/>
        <w:rPr>
          <w:sz w:val="20"/>
        </w:rPr>
      </w:pPr>
      <w:r>
        <w:rPr>
          <w:sz w:val="20"/>
        </w:rPr>
        <w:t>Insert date or dates of the allotment</w:t>
      </w:r>
      <w:r>
        <w:rPr>
          <w:spacing w:val="-4"/>
          <w:sz w:val="20"/>
        </w:rPr>
        <w:t> </w:t>
      </w:r>
      <w:r>
        <w:rPr>
          <w:sz w:val="20"/>
        </w:rPr>
        <w:t>s.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4" w:lineRule="auto" w:before="5" w:after="0"/>
        <w:ind w:left="579" w:right="1073" w:hanging="360"/>
        <w:jc w:val="left"/>
        <w:rPr>
          <w:sz w:val="20"/>
        </w:rPr>
      </w:pPr>
      <w:r>
        <w:rPr>
          <w:sz w:val="20"/>
        </w:rPr>
        <w:t>Distinguish</w:t>
      </w:r>
      <w:r>
        <w:rPr>
          <w:spacing w:val="-8"/>
          <w:sz w:val="20"/>
        </w:rPr>
        <w:t> </w:t>
      </w:r>
      <w:r>
        <w:rPr>
          <w:sz w:val="20"/>
        </w:rPr>
        <w:t>between</w:t>
      </w:r>
      <w:r>
        <w:rPr>
          <w:spacing w:val="-8"/>
          <w:sz w:val="20"/>
        </w:rPr>
        <w:t> </w:t>
      </w:r>
      <w:r>
        <w:rPr>
          <w:sz w:val="20"/>
        </w:rPr>
        <w:t>preference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equity</w:t>
      </w:r>
      <w:r>
        <w:rPr>
          <w:spacing w:val="-10"/>
          <w:sz w:val="20"/>
        </w:rPr>
        <w:t> </w:t>
      </w:r>
      <w:r>
        <w:rPr>
          <w:sz w:val="20"/>
        </w:rPr>
        <w:t>share</w:t>
      </w:r>
      <w:r>
        <w:rPr>
          <w:spacing w:val="-7"/>
          <w:sz w:val="20"/>
        </w:rPr>
        <w:t> </w:t>
      </w:r>
      <w:r>
        <w:rPr>
          <w:sz w:val="20"/>
        </w:rPr>
        <w:t>capital</w:t>
      </w:r>
      <w:r>
        <w:rPr>
          <w:spacing w:val="-7"/>
          <w:sz w:val="20"/>
        </w:rPr>
        <w:t> </w:t>
      </w:r>
      <w:r>
        <w:rPr>
          <w:sz w:val="20"/>
        </w:rPr>
        <w:t>specifying</w:t>
      </w:r>
      <w:r>
        <w:rPr>
          <w:spacing w:val="-8"/>
          <w:sz w:val="20"/>
        </w:rPr>
        <w:t> </w:t>
      </w:r>
      <w:r>
        <w:rPr>
          <w:sz w:val="20"/>
        </w:rPr>
        <w:t>separately</w:t>
      </w:r>
      <w:r>
        <w:rPr>
          <w:spacing w:val="-11"/>
          <w:sz w:val="20"/>
        </w:rPr>
        <w:t> </w:t>
      </w:r>
      <w:r>
        <w:rPr>
          <w:sz w:val="20"/>
        </w:rPr>
        <w:t>redeemable</w:t>
      </w:r>
      <w:r>
        <w:rPr>
          <w:spacing w:val="-7"/>
          <w:sz w:val="20"/>
        </w:rPr>
        <w:t> </w:t>
      </w:r>
      <w:r>
        <w:rPr>
          <w:sz w:val="20"/>
        </w:rPr>
        <w:t>preference shares, if</w:t>
      </w:r>
      <w:r>
        <w:rPr>
          <w:spacing w:val="-2"/>
          <w:sz w:val="20"/>
        </w:rPr>
        <w:t> </w:t>
      </w:r>
      <w:r>
        <w:rPr>
          <w:sz w:val="20"/>
        </w:rPr>
        <w:t>any.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1" w:after="0"/>
        <w:ind w:left="580" w:right="0" w:hanging="361"/>
        <w:jc w:val="left"/>
        <w:rPr>
          <w:sz w:val="20"/>
        </w:rPr>
      </w:pPr>
      <w:r>
        <w:rPr>
          <w:sz w:val="20"/>
        </w:rPr>
        <w:t>State whether Director, Managing Director, Manager of</w:t>
      </w:r>
      <w:r>
        <w:rPr>
          <w:spacing w:val="-4"/>
          <w:sz w:val="20"/>
        </w:rPr>
        <w:t> </w:t>
      </w:r>
      <w:r>
        <w:rPr>
          <w:sz w:val="20"/>
        </w:rPr>
        <w:t>secretary.</w:t>
      </w:r>
    </w:p>
    <w:sectPr>
      <w:type w:val="continuous"/>
      <w:pgSz w:w="12240" w:h="15840"/>
      <w:pgMar w:top="1360" w:bottom="280" w:left="1580" w:right="9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80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80" w:hanging="360"/>
        <w:jc w:val="left"/>
      </w:pPr>
      <w:rPr>
        <w:rFonts w:hint="default" w:ascii="Times New Roman" w:hAnsi="Times New Roman" w:eastAsia="Times New Roman" w:cs="Times New Roman"/>
        <w:i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9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8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0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lowerRoman"/>
      <w:lvlText w:val="(%2)"/>
      <w:lvlJc w:val="left"/>
      <w:pPr>
        <w:ind w:left="1372" w:hanging="432"/>
        <w:jc w:val="left"/>
      </w:pPr>
      <w:rPr>
        <w:rFonts w:hint="default" w:ascii="Times New Roman" w:hAnsi="Times New Roman" w:eastAsia="Times New Roman" w:cs="Times New Roman"/>
        <w:spacing w:val="-1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53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7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2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6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1" w:hanging="432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47"/>
      <w:jc w:val="center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"/>
      <w:ind w:left="5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fm2.doc</dc:title>
  <dcterms:created xsi:type="dcterms:W3CDTF">2020-09-15T10:41:28Z</dcterms:created>
  <dcterms:modified xsi:type="dcterms:W3CDTF">2020-09-15T10:41:28Z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2020-09-15T00:00:00Z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