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P: Notice of Retrenchment under Clause (C) of Section 25F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80"/>
      </w:pPr>
      <w:r>
        <w:rPr/>
        <w:t>(Rule 76)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438" w:val="left" w:leader="none"/>
          <w:tab w:pos="5318" w:val="left" w:leader="none"/>
          <w:tab w:pos="6929" w:val="left" w:leader="none"/>
          <w:tab w:pos="7986" w:val="left" w:leader="none"/>
          <w:tab w:pos="8200" w:val="left" w:leader="none"/>
        </w:tabs>
        <w:spacing w:line="448" w:lineRule="auto"/>
        <w:ind w:left="180" w:right="1457"/>
      </w:pPr>
      <w:r>
        <w:rPr/>
        <w:t>Name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employer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  <w:tab/>
      </w:r>
      <w:r>
        <w:rPr/>
        <w:t> Address</w:t>
      </w:r>
      <w:r>
        <w:rPr>
          <w:u w:val="single"/>
        </w:rPr>
        <w:tab/>
        <w:tab/>
        <w:tab/>
        <w:tab/>
        <w:tab/>
      </w:r>
      <w:r>
        <w:rPr/>
        <w:t> Dated</w:t>
      </w:r>
      <w:r>
        <w:rPr>
          <w:spacing w:val="-1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80"/>
      </w:pPr>
      <w:r>
        <w:rPr/>
        <w:t>To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80" w:right="2771"/>
      </w:pPr>
      <w:r>
        <w:rPr/>
        <w:t>The Secretary to the Government of India, Ministry of Labour, New</w:t>
      </w:r>
      <w:r>
        <w:rPr>
          <w:spacing w:val="-30"/>
        </w:rPr>
        <w:t> </w:t>
      </w:r>
      <w:r>
        <w:rPr/>
        <w:t>Delhi. Sir,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  <w:tab w:pos="6313" w:val="left" w:leader="none"/>
          <w:tab w:pos="9240" w:val="left" w:leader="none"/>
        </w:tabs>
        <w:spacing w:line="240" w:lineRule="auto" w:before="0" w:after="0"/>
        <w:ind w:left="899" w:right="119" w:hanging="360"/>
        <w:jc w:val="both"/>
        <w:rPr>
          <w:sz w:val="20"/>
        </w:rPr>
      </w:pPr>
      <w:r>
        <w:rPr>
          <w:sz w:val="20"/>
        </w:rPr>
        <w:t>Under clause (c) of section 25F of the Industrial Disputes Act, 1947, I / we hereby inform you that I / we have decided</w:t>
      </w:r>
      <w:r>
        <w:rPr>
          <w:spacing w:val="34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retrench</w:t>
      </w:r>
      <w:r>
        <w:rPr>
          <w:sz w:val="20"/>
          <w:u w:val="single"/>
        </w:rPr>
        <w:t> </w:t>
        <w:tab/>
      </w:r>
      <w:r>
        <w:rPr>
          <w:sz w:val="20"/>
        </w:rPr>
        <w:t>workmen</w:t>
      </w:r>
      <w:r>
        <w:rPr>
          <w:spacing w:val="4"/>
          <w:sz w:val="20"/>
        </w:rPr>
        <w:t> </w:t>
      </w:r>
      <w:r>
        <w:rPr>
          <w:sz w:val="20"/>
        </w:rPr>
        <w:t>w.e.f.</w:t>
      </w:r>
      <w:r>
        <w:rPr>
          <w:sz w:val="20"/>
          <w:u w:val="single"/>
        </w:rPr>
        <w:t> </w:t>
        <w:tab/>
      </w:r>
      <w:r>
        <w:rPr>
          <w:spacing w:val="-6"/>
          <w:sz w:val="20"/>
        </w:rPr>
        <w:t>for </w:t>
      </w:r>
      <w:r>
        <w:rPr>
          <w:sz w:val="20"/>
        </w:rPr>
        <w:t>the reasons explained in the</w:t>
      </w:r>
      <w:r>
        <w:rPr>
          <w:spacing w:val="-6"/>
          <w:sz w:val="20"/>
        </w:rPr>
        <w:t> </w:t>
      </w:r>
      <w:r>
        <w:rPr>
          <w:sz w:val="20"/>
        </w:rPr>
        <w:t>annexure.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  <w:tab w:pos="6504" w:val="left" w:leader="none"/>
          <w:tab w:pos="7789" w:val="left" w:leader="none"/>
        </w:tabs>
        <w:spacing w:line="240" w:lineRule="auto" w:before="0" w:after="0"/>
        <w:ind w:left="899" w:right="116" w:hanging="360"/>
        <w:jc w:val="both"/>
        <w:rPr>
          <w:sz w:val="20"/>
        </w:rPr>
      </w:pPr>
      <w:r>
        <w:rPr>
          <w:sz w:val="20"/>
        </w:rPr>
        <w:t>The workmen concerned were given</w:t>
      </w:r>
      <w:r>
        <w:rPr>
          <w:spacing w:val="23"/>
          <w:sz w:val="20"/>
        </w:rPr>
        <w:t> </w:t>
      </w:r>
      <w:r>
        <w:rPr>
          <w:sz w:val="20"/>
        </w:rPr>
        <w:t>on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z w:val="20"/>
          <w:u w:val="single"/>
        </w:rPr>
        <w:t> </w:t>
        <w:tab/>
      </w:r>
      <w:r>
        <w:rPr>
          <w:sz w:val="20"/>
        </w:rPr>
        <w:t>19</w:t>
      </w:r>
      <w:r>
        <w:rPr>
          <w:sz w:val="20"/>
          <w:u w:val="single"/>
        </w:rPr>
        <w:t> </w:t>
        <w:tab/>
      </w:r>
      <w:r>
        <w:rPr>
          <w:sz w:val="20"/>
        </w:rPr>
        <w:t>one month's notice in writing as required under clause (a) of section 25F of the Act, retrenchment is being effected in pursuance</w:t>
      </w:r>
      <w:r>
        <w:rPr>
          <w:spacing w:val="45"/>
          <w:sz w:val="20"/>
        </w:rPr>
        <w:t> </w:t>
      </w:r>
      <w:r>
        <w:rPr>
          <w:sz w:val="20"/>
        </w:rPr>
        <w:t>of</w:t>
      </w:r>
      <w:r>
        <w:rPr>
          <w:spacing w:val="44"/>
          <w:sz w:val="20"/>
        </w:rPr>
        <w:t> </w:t>
      </w:r>
      <w:r>
        <w:rPr>
          <w:sz w:val="20"/>
        </w:rPr>
        <w:t>an</w:t>
      </w:r>
      <w:r>
        <w:rPr>
          <w:spacing w:val="44"/>
          <w:sz w:val="20"/>
        </w:rPr>
        <w:t> </w:t>
      </w:r>
      <w:r>
        <w:rPr>
          <w:sz w:val="20"/>
        </w:rPr>
        <w:t>agreement,</w:t>
      </w:r>
      <w:r>
        <w:rPr>
          <w:spacing w:val="45"/>
          <w:sz w:val="20"/>
        </w:rPr>
        <w:t> </w:t>
      </w:r>
      <w:r>
        <w:rPr>
          <w:sz w:val="20"/>
        </w:rPr>
        <w:t>a</w:t>
      </w:r>
      <w:r>
        <w:rPr>
          <w:spacing w:val="45"/>
          <w:sz w:val="20"/>
        </w:rPr>
        <w:t> </w:t>
      </w:r>
      <w:r>
        <w:rPr>
          <w:sz w:val="20"/>
        </w:rPr>
        <w:t>copy</w:t>
      </w:r>
      <w:r>
        <w:rPr>
          <w:spacing w:val="45"/>
          <w:sz w:val="20"/>
        </w:rPr>
        <w:t> </w:t>
      </w:r>
      <w:r>
        <w:rPr>
          <w:sz w:val="20"/>
        </w:rPr>
        <w:t>of</w:t>
      </w:r>
      <w:r>
        <w:rPr>
          <w:spacing w:val="44"/>
          <w:sz w:val="20"/>
        </w:rPr>
        <w:t> </w:t>
      </w:r>
      <w:r>
        <w:rPr>
          <w:sz w:val="20"/>
        </w:rPr>
        <w:t>which</w:t>
      </w:r>
      <w:r>
        <w:rPr>
          <w:spacing w:val="44"/>
          <w:sz w:val="20"/>
        </w:rPr>
        <w:t> </w:t>
      </w:r>
      <w:r>
        <w:rPr>
          <w:sz w:val="20"/>
        </w:rPr>
        <w:t>is</w:t>
      </w:r>
      <w:r>
        <w:rPr>
          <w:spacing w:val="44"/>
          <w:sz w:val="20"/>
        </w:rPr>
        <w:t> </w:t>
      </w:r>
      <w:r>
        <w:rPr>
          <w:sz w:val="20"/>
        </w:rPr>
        <w:t>enclosed.</w:t>
      </w:r>
      <w:r>
        <w:rPr>
          <w:spacing w:val="46"/>
          <w:sz w:val="20"/>
        </w:rPr>
        <w:t> </w:t>
      </w:r>
      <w:r>
        <w:rPr>
          <w:sz w:val="20"/>
        </w:rPr>
        <w:t>The</w:t>
      </w:r>
      <w:r>
        <w:rPr>
          <w:spacing w:val="44"/>
          <w:sz w:val="20"/>
        </w:rPr>
        <w:t> </w:t>
      </w:r>
      <w:r>
        <w:rPr>
          <w:sz w:val="20"/>
        </w:rPr>
        <w:t>workmen</w:t>
      </w:r>
      <w:r>
        <w:rPr>
          <w:spacing w:val="44"/>
          <w:sz w:val="20"/>
        </w:rPr>
        <w:t> </w:t>
      </w:r>
      <w:r>
        <w:rPr>
          <w:sz w:val="20"/>
        </w:rPr>
        <w:t>were</w:t>
      </w:r>
      <w:r>
        <w:rPr>
          <w:spacing w:val="45"/>
          <w:sz w:val="20"/>
        </w:rPr>
        <w:t> </w:t>
      </w:r>
      <w:r>
        <w:rPr>
          <w:sz w:val="20"/>
        </w:rPr>
        <w:t>given</w:t>
      </w:r>
      <w:r>
        <w:rPr>
          <w:spacing w:val="45"/>
          <w:sz w:val="20"/>
        </w:rPr>
        <w:t> </w:t>
      </w:r>
      <w:r>
        <w:rPr>
          <w:sz w:val="20"/>
        </w:rPr>
        <w:t>on</w:t>
      </w:r>
      <w:r>
        <w:rPr>
          <w:spacing w:val="44"/>
          <w:sz w:val="20"/>
        </w:rPr>
        <w:t> </w:t>
      </w:r>
      <w:r>
        <w:rPr>
          <w:sz w:val="20"/>
        </w:rPr>
        <w:t>the</w:t>
      </w:r>
    </w:p>
    <w:p>
      <w:pPr>
        <w:pStyle w:val="BodyText"/>
        <w:tabs>
          <w:tab w:pos="2569" w:val="left" w:leader="none"/>
          <w:tab w:pos="3968" w:val="left" w:leader="none"/>
        </w:tabs>
        <w:ind w:left="899" w:right="118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8"/>
        </w:rPr>
        <w:t> </w:t>
      </w:r>
      <w:r>
        <w:rPr/>
        <w:t>19</w:t>
      </w:r>
      <w:r>
        <w:rPr>
          <w:u w:val="single"/>
        </w:rPr>
        <w:t> </w:t>
        <w:tab/>
      </w:r>
      <w:r>
        <w:rPr/>
        <w:t>one month's pay in lieu of notice as required under clause (a) of section 25F of that</w:t>
      </w:r>
      <w:r>
        <w:rPr>
          <w:spacing w:val="-6"/>
        </w:rPr>
        <w:t> </w:t>
      </w:r>
      <w:r>
        <w:rPr/>
        <w:t>Act.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  <w:tab w:pos="8308" w:val="left" w:leader="none"/>
        </w:tabs>
        <w:spacing w:line="240" w:lineRule="auto" w:before="0" w:after="0"/>
        <w:ind w:left="899" w:right="118" w:hanging="360"/>
        <w:jc w:val="both"/>
        <w:rPr>
          <w:sz w:val="20"/>
        </w:rPr>
      </w:pP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total</w:t>
      </w:r>
      <w:r>
        <w:rPr>
          <w:spacing w:val="21"/>
          <w:sz w:val="20"/>
        </w:rPr>
        <w:t> </w:t>
      </w:r>
      <w:r>
        <w:rPr>
          <w:sz w:val="20"/>
        </w:rPr>
        <w:t>number</w:t>
      </w:r>
      <w:r>
        <w:rPr>
          <w:spacing w:val="21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workmen</w:t>
      </w:r>
      <w:r>
        <w:rPr>
          <w:spacing w:val="21"/>
          <w:sz w:val="20"/>
        </w:rPr>
        <w:t> </w:t>
      </w:r>
      <w:r>
        <w:rPr>
          <w:sz w:val="20"/>
        </w:rPr>
        <w:t>employed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industrial</w:t>
      </w:r>
      <w:r>
        <w:rPr>
          <w:spacing w:val="21"/>
          <w:sz w:val="20"/>
        </w:rPr>
        <w:t> </w:t>
      </w:r>
      <w:r>
        <w:rPr>
          <w:sz w:val="20"/>
        </w:rPr>
        <w:t>establishment</w:t>
      </w:r>
      <w:r>
        <w:rPr>
          <w:spacing w:val="21"/>
          <w:sz w:val="20"/>
        </w:rPr>
        <w:t> </w:t>
      </w:r>
      <w:r>
        <w:rPr>
          <w:sz w:val="20"/>
        </w:rPr>
        <w:t>is</w:t>
      </w:r>
      <w:r>
        <w:rPr>
          <w:sz w:val="20"/>
          <w:u w:val="single"/>
        </w:rPr>
        <w:t> </w:t>
        <w:tab/>
      </w:r>
      <w:r>
        <w:rPr>
          <w:sz w:val="20"/>
        </w:rPr>
        <w:t>and the </w:t>
      </w:r>
      <w:r>
        <w:rPr>
          <w:spacing w:val="-3"/>
          <w:sz w:val="20"/>
        </w:rPr>
        <w:t>total </w:t>
      </w:r>
      <w:r>
        <w:rPr>
          <w:sz w:val="20"/>
        </w:rPr>
        <w:t>number of those who will be affected by the retrenchment is given</w:t>
      </w:r>
      <w:r>
        <w:rPr>
          <w:spacing w:val="-23"/>
          <w:sz w:val="20"/>
        </w:rPr>
        <w:t> </w:t>
      </w:r>
      <w:r>
        <w:rPr>
          <w:sz w:val="20"/>
        </w:rPr>
        <w:t>below: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8" w:space="0" w:color="ACA89A"/>
          <w:left w:val="single" w:sz="18" w:space="0" w:color="ACA89A"/>
          <w:bottom w:val="single" w:sz="18" w:space="0" w:color="ACA89A"/>
          <w:right w:val="single" w:sz="18" w:space="0" w:color="ACA89A"/>
          <w:insideH w:val="single" w:sz="18" w:space="0" w:color="ACA89A"/>
          <w:insideV w:val="single" w:sz="18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0"/>
        <w:gridCol w:w="1011"/>
        <w:gridCol w:w="1641"/>
      </w:tblGrid>
      <w:tr>
        <w:trPr>
          <w:trHeight w:val="1043" w:hRule="atLeast"/>
        </w:trPr>
        <w:tc>
          <w:tcPr>
            <w:tcW w:w="2230" w:type="dxa"/>
            <w:vMerge w:val="restart"/>
            <w:tcBorders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tabs>
                <w:tab w:pos="1823" w:val="left" w:leader="none"/>
              </w:tabs>
              <w:spacing w:before="135"/>
              <w:ind w:left="44" w:right="38"/>
              <w:jc w:val="both"/>
              <w:rPr>
                <w:sz w:val="20"/>
              </w:rPr>
            </w:pPr>
            <w:r>
              <w:rPr>
                <w:sz w:val="20"/>
              </w:rPr>
              <w:t>Category</w:t>
              <w:tab/>
            </w:r>
            <w:r>
              <w:rPr>
                <w:spacing w:val="-6"/>
                <w:sz w:val="20"/>
              </w:rPr>
              <w:t>and </w:t>
            </w:r>
            <w:r>
              <w:rPr>
                <w:sz w:val="20"/>
              </w:rPr>
              <w:t>designation of workmen to 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retrenched</w:t>
            </w:r>
          </w:p>
        </w:tc>
        <w:tc>
          <w:tcPr>
            <w:tcW w:w="2652" w:type="dxa"/>
            <w:gridSpan w:val="2"/>
            <w:tcBorders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5"/>
              <w:rPr>
                <w:sz w:val="20"/>
              </w:rPr>
            </w:pPr>
            <w:r>
              <w:rPr>
                <w:sz w:val="20"/>
              </w:rPr>
              <w:t>Number of workmen</w:t>
            </w:r>
          </w:p>
        </w:tc>
      </w:tr>
      <w:tr>
        <w:trPr>
          <w:trHeight w:val="1048" w:hRule="atLeast"/>
        </w:trPr>
        <w:tc>
          <w:tcPr>
            <w:tcW w:w="2230" w:type="dxa"/>
            <w:vMerge/>
            <w:tcBorders>
              <w:top w:val="nil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Employed</w:t>
            </w:r>
          </w:p>
        </w:tc>
        <w:tc>
          <w:tcPr>
            <w:tcW w:w="164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z w:val="20"/>
              </w:rPr>
              <w:t>To be retrenched</w:t>
            </w:r>
          </w:p>
        </w:tc>
      </w:tr>
      <w:tr>
        <w:trPr>
          <w:trHeight w:val="1043" w:hRule="atLeast"/>
        </w:trPr>
        <w:tc>
          <w:tcPr>
            <w:tcW w:w="2230" w:type="dxa"/>
            <w:tcBorders>
              <w:top w:val="single" w:sz="12" w:space="0" w:color="ACA89A"/>
              <w:left w:val="single" w:sz="12" w:space="0" w:color="ECE9D8"/>
              <w:right w:val="single" w:sz="12" w:space="0" w:color="ACA89A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011" w:type="dxa"/>
            <w:tcBorders>
              <w:top w:val="single" w:sz="12" w:space="0" w:color="ACA89A"/>
              <w:left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641" w:type="dxa"/>
            <w:tcBorders>
              <w:top w:val="single" w:sz="12" w:space="0" w:color="ACA89A"/>
              <w:left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900" w:val="left" w:leader="none"/>
          <w:tab w:pos="7557" w:val="left" w:leader="none"/>
        </w:tabs>
        <w:spacing w:line="240" w:lineRule="auto" w:before="97" w:after="0"/>
        <w:ind w:left="899" w:right="117" w:hanging="360"/>
        <w:jc w:val="both"/>
        <w:rPr>
          <w:sz w:val="20"/>
        </w:rPr>
      </w:pPr>
      <w:r>
        <w:rPr>
          <w:sz w:val="20"/>
        </w:rPr>
        <w:t>I / We hereby declare that the workman/workmen concerned has / have been / will be paid compensation</w:t>
      </w:r>
      <w:r>
        <w:rPr>
          <w:spacing w:val="26"/>
          <w:sz w:val="20"/>
        </w:rPr>
        <w:t> </w:t>
      </w:r>
      <w:r>
        <w:rPr>
          <w:sz w:val="20"/>
        </w:rPr>
        <w:t>due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them</w:t>
      </w:r>
      <w:r>
        <w:rPr>
          <w:spacing w:val="26"/>
          <w:sz w:val="20"/>
        </w:rPr>
        <w:t> </w:t>
      </w:r>
      <w:r>
        <w:rPr>
          <w:sz w:val="20"/>
        </w:rPr>
        <w:t>under</w:t>
      </w:r>
      <w:r>
        <w:rPr>
          <w:spacing w:val="25"/>
          <w:sz w:val="20"/>
        </w:rPr>
        <w:t> </w:t>
      </w:r>
      <w:r>
        <w:rPr>
          <w:sz w:val="20"/>
        </w:rPr>
        <w:t>section</w:t>
      </w:r>
      <w:r>
        <w:rPr>
          <w:spacing w:val="27"/>
          <w:sz w:val="20"/>
        </w:rPr>
        <w:t> </w:t>
      </w:r>
      <w:r>
        <w:rPr>
          <w:sz w:val="20"/>
        </w:rPr>
        <w:t>25F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Act</w:t>
      </w:r>
      <w:r>
        <w:rPr>
          <w:spacing w:val="26"/>
          <w:sz w:val="20"/>
        </w:rPr>
        <w:t> </w:t>
      </w:r>
      <w:r>
        <w:rPr>
          <w:sz w:val="20"/>
        </w:rPr>
        <w:t>on</w:t>
      </w:r>
      <w:r>
        <w:rPr>
          <w:sz w:val="20"/>
          <w:u w:val="single"/>
        </w:rPr>
        <w:t> </w:t>
        <w:tab/>
      </w:r>
      <w:r>
        <w:rPr>
          <w:sz w:val="20"/>
        </w:rPr>
        <w:t>/ expiry of the </w:t>
      </w:r>
      <w:r>
        <w:rPr>
          <w:spacing w:val="-4"/>
          <w:sz w:val="20"/>
        </w:rPr>
        <w:t>notice </w:t>
      </w:r>
      <w:r>
        <w:rPr>
          <w:sz w:val="20"/>
        </w:rPr>
        <w:t>period.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80" w:right="8165"/>
        <w:jc w:val="both"/>
      </w:pPr>
      <w:r>
        <w:rPr/>
        <w:t>Yours faithfully Signature</w:t>
      </w:r>
    </w:p>
    <w:p>
      <w:pPr>
        <w:pStyle w:val="BodyText"/>
        <w:spacing w:before="10"/>
        <w:rPr>
          <w:sz w:val="9"/>
        </w:rPr>
      </w:pPr>
      <w:r>
        <w:rPr/>
        <w:pict>
          <v:group style="position:absolute;margin-left:72pt;margin-top:7.632412pt;width:468pt;height:1.5pt;mso-position-horizontal-relative:page;mso-position-vertical-relative:paragraph;z-index:-15728640;mso-wrap-distance-left:0;mso-wrap-distance-right:0" coordorigin="1440,153" coordsize="9360,30">
            <v:rect style="position:absolute;left:1440;top:152;width:9360;height:30" filled="true" fillcolor="#aca899" stroked="false">
              <v:fill type="solid"/>
            </v:rect>
            <v:shape style="position:absolute;left:1440;top:152;width:9356;height:5" coordorigin="1440,153" coordsize="9356,5" path="m10795,153l1445,153,1440,153,1440,157,1445,157,10795,157,10795,153xe" filled="true" fillcolor="#aca89a" stroked="false">
              <v:path arrowok="t"/>
              <v:fill type="solid"/>
            </v:shape>
            <v:rect style="position:absolute;left:10795;top:152;width:5;height:5" filled="true" fillcolor="#f1efe2" stroked="false">
              <v:fill type="solid"/>
            </v:rect>
            <v:shape style="position:absolute;left:1440;top:152;width:9360;height:26" coordorigin="1440,153" coordsize="9360,26" path="m1445,157l1440,157,1440,178,1445,178,1445,157xm10800,153l10795,153,10795,157,10800,157,10800,153xe" filled="true" fillcolor="#aca89a" stroked="false">
              <v:path arrowok="t"/>
              <v:fill type="solid"/>
            </v:shape>
            <v:rect style="position:absolute;left:10795;top:157;width:5;height:21" filled="true" fillcolor="#f1efe2" stroked="false">
              <v:fill type="solid"/>
            </v:rect>
            <v:rect style="position:absolute;left:1440;top:177;width:5;height:5" filled="true" fillcolor="#aca89a" stroked="false">
              <v:fill type="solid"/>
            </v:rect>
            <v:shape style="position:absolute;left:1440;top:177;width:9360;height:5" coordorigin="1440,178" coordsize="9360,5" path="m10800,178l10795,178,1440,178,1440,183,10795,183,10800,183,10800,178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4"/>
        <w:ind w:left="179"/>
      </w:pPr>
      <w:r>
        <w:rPr/>
        <w:t>ANNEXURE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79" w:right="7559"/>
      </w:pPr>
      <w:r>
        <w:rPr/>
        <w:t>Statement of reasons Copy to:</w:t>
      </w:r>
    </w:p>
    <w:p>
      <w:pPr>
        <w:spacing w:after="0" w:line="448" w:lineRule="auto"/>
        <w:sectPr>
          <w:type w:val="continuous"/>
          <w:pgSz w:w="12240" w:h="15840"/>
          <w:pgMar w:top="1460" w:bottom="280" w:left="1260" w:right="1320"/>
        </w:sectPr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  <w:tab w:pos="8093" w:val="left" w:leader="none"/>
        </w:tabs>
        <w:spacing w:line="240" w:lineRule="auto" w:before="77" w:after="0"/>
        <w:ind w:left="900" w:right="0" w:hanging="461"/>
        <w:jc w:val="left"/>
        <w:rPr>
          <w:sz w:val="20"/>
        </w:rPr>
      </w:pPr>
      <w:r>
        <w:rPr>
          <w:sz w:val="20"/>
        </w:rPr>
        <w:t>Assistant Labour Commissioner (Central) of local</w:t>
      </w:r>
      <w:r>
        <w:rPr>
          <w:spacing w:val="-10"/>
          <w:sz w:val="20"/>
        </w:rPr>
        <w:t> </w:t>
      </w:r>
      <w:r>
        <w:rPr>
          <w:sz w:val="20"/>
        </w:rPr>
        <w:t>area</w:t>
      </w:r>
      <w:r>
        <w:rPr>
          <w:spacing w:val="-2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  <w:tab w:pos="6923" w:val="left" w:leader="none"/>
        </w:tabs>
        <w:spacing w:line="230" w:lineRule="exact" w:before="0" w:after="0"/>
        <w:ind w:left="900" w:right="0" w:hanging="506"/>
        <w:jc w:val="left"/>
        <w:rPr>
          <w:sz w:val="20"/>
        </w:rPr>
      </w:pPr>
      <w:r>
        <w:rPr>
          <w:sz w:val="20"/>
        </w:rPr>
        <w:t>Regional Labour</w:t>
      </w:r>
      <w:r>
        <w:rPr>
          <w:spacing w:val="-5"/>
          <w:sz w:val="20"/>
        </w:rPr>
        <w:t> </w:t>
      </w:r>
      <w:r>
        <w:rPr>
          <w:sz w:val="20"/>
        </w:rPr>
        <w:t>Commissioner</w:t>
      </w:r>
      <w:r>
        <w:rPr>
          <w:spacing w:val="-3"/>
          <w:sz w:val="20"/>
        </w:rPr>
        <w:t> </w:t>
      </w:r>
      <w:r>
        <w:rPr>
          <w:sz w:val="20"/>
        </w:rPr>
        <w:t>(Central)</w:t>
      </w:r>
      <w:r>
        <w:rPr>
          <w:sz w:val="20"/>
          <w:u w:val="single"/>
        </w:rPr>
        <w:t> </w:t>
        <w:tab/>
      </w:r>
      <w:r>
        <w:rPr>
          <w:sz w:val="20"/>
        </w:rPr>
        <w:t>Zone.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  <w:tab w:pos="7717" w:val="left" w:leader="none"/>
        </w:tabs>
        <w:spacing w:line="448" w:lineRule="auto" w:before="0" w:after="0"/>
        <w:ind w:left="179" w:right="1940" w:firstLine="171"/>
        <w:jc w:val="left"/>
        <w:rPr>
          <w:sz w:val="20"/>
        </w:rPr>
      </w:pPr>
      <w:r>
        <w:rPr>
          <w:sz w:val="20"/>
        </w:rPr>
        <w:t>Employment Officer,</w:t>
      </w:r>
      <w:r>
        <w:rPr>
          <w:spacing w:val="-14"/>
          <w:sz w:val="20"/>
        </w:rPr>
        <w:t> </w:t>
      </w:r>
      <w:r>
        <w:rPr>
          <w:sz w:val="20"/>
        </w:rPr>
        <w:t>Employment</w:t>
      </w:r>
      <w:r>
        <w:rPr>
          <w:spacing w:val="-6"/>
          <w:sz w:val="20"/>
        </w:rPr>
        <w:t> </w:t>
      </w:r>
      <w:r>
        <w:rPr>
          <w:sz w:val="20"/>
        </w:rPr>
        <w:t>Exchange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  <w:r>
        <w:rPr>
          <w:sz w:val="20"/>
        </w:rPr>
        <w:t> </w:t>
      </w:r>
      <w:r>
        <w:rPr>
          <w:w w:val="100"/>
          <w:sz w:val="20"/>
        </w:rPr>
        <w:t>                                               </w:t>
      </w:r>
      <w:r>
        <w:rPr>
          <w:sz w:val="20"/>
        </w:rPr>
        <w:t>(Full address of the Employment Exchange</w:t>
      </w:r>
      <w:r>
        <w:rPr>
          <w:spacing w:val="-7"/>
          <w:sz w:val="20"/>
        </w:rPr>
        <w:t> </w:t>
      </w:r>
      <w:r>
        <w:rPr>
          <w:sz w:val="20"/>
        </w:rPr>
        <w:t>concerned)</w:t>
      </w:r>
    </w:p>
    <w:sectPr>
      <w:pgSz w:w="12240" w:h="15840"/>
      <w:pgMar w:top="1360" w:bottom="280" w:left="12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Roman"/>
      <w:lvlText w:val="%1."/>
      <w:lvlJc w:val="left"/>
      <w:pPr>
        <w:ind w:left="900" w:hanging="461"/>
        <w:jc w:val="righ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4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8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9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2"/>
      <w:ind w:left="4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- 171</dc:title>
  <dcterms:created xsi:type="dcterms:W3CDTF">2020-09-16T08:11:49Z</dcterms:created>
  <dcterms:modified xsi:type="dcterms:W3CDTF">2020-09-16T08:11:49Z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