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pPr>
      <w:r>
        <w:rPr>
          <w:color w:val="243F60"/>
        </w:rPr>
        <w:t>Form XI: Office of The Licensing Officer Government of India</w:t>
      </w:r>
    </w:p>
    <w:p>
      <w:pPr>
        <w:pStyle w:val="BodyText"/>
        <w:spacing w:before="4"/>
        <w:rPr>
          <w:b/>
          <w:sz w:val="17"/>
        </w:rPr>
      </w:pPr>
    </w:p>
    <w:p>
      <w:pPr>
        <w:pStyle w:val="BodyText"/>
        <w:ind w:left="120"/>
      </w:pPr>
      <w:r>
        <w:rPr/>
        <w:t>[Rule 32(3)]</w:t>
      </w:r>
    </w:p>
    <w:p>
      <w:pPr>
        <w:pStyle w:val="BodyText"/>
        <w:spacing w:before="4"/>
        <w:rPr>
          <w:sz w:val="17"/>
        </w:rPr>
      </w:pPr>
    </w:p>
    <w:p>
      <w:pPr>
        <w:pStyle w:val="BodyText"/>
        <w:ind w:left="120"/>
      </w:pPr>
      <w:r>
        <w:rPr/>
        <w:t>Licence No ................... Dated....................... Fee paid Rs ............</w:t>
      </w:r>
    </w:p>
    <w:p>
      <w:pPr>
        <w:pStyle w:val="BodyText"/>
        <w:spacing w:before="5"/>
        <w:rPr>
          <w:sz w:val="17"/>
        </w:rPr>
      </w:pPr>
    </w:p>
    <w:p>
      <w:pPr>
        <w:pStyle w:val="Heading1"/>
      </w:pPr>
      <w:r>
        <w:rPr/>
        <w:t>Signature of the Licensing Officer</w:t>
      </w:r>
    </w:p>
    <w:p>
      <w:pPr>
        <w:pStyle w:val="BodyText"/>
        <w:spacing w:before="4"/>
        <w:rPr>
          <w:b/>
          <w:sz w:val="17"/>
        </w:rPr>
      </w:pPr>
    </w:p>
    <w:p>
      <w:pPr>
        <w:pStyle w:val="BodyText"/>
        <w:ind w:left="120"/>
      </w:pPr>
      <w:r>
        <w:rPr/>
        <w:t>Temporary Licence Expires on.............</w:t>
      </w:r>
    </w:p>
    <w:p>
      <w:pPr>
        <w:pStyle w:val="BodyText"/>
        <w:spacing w:before="4"/>
        <w:rPr>
          <w:sz w:val="17"/>
        </w:rPr>
      </w:pPr>
    </w:p>
    <w:p>
      <w:pPr>
        <w:pStyle w:val="BodyText"/>
        <w:spacing w:before="1"/>
        <w:ind w:left="120" w:right="119"/>
      </w:pPr>
      <w:r>
        <w:rPr/>
        <w:t>Licence is hereby granted to .............................under section 12(2) of the Contract Labour (Regulation and Abolition) Act, 1970, subject to the conditions specified in</w:t>
      </w:r>
      <w:r>
        <w:rPr>
          <w:spacing w:val="-19"/>
        </w:rPr>
        <w:t> </w:t>
      </w:r>
      <w:r>
        <w:rPr/>
        <w:t>Annexure.</w:t>
      </w:r>
    </w:p>
    <w:p>
      <w:pPr>
        <w:pStyle w:val="BodyText"/>
        <w:spacing w:before="4"/>
        <w:rPr>
          <w:sz w:val="17"/>
        </w:rPr>
      </w:pPr>
    </w:p>
    <w:p>
      <w:pPr>
        <w:pStyle w:val="BodyText"/>
        <w:ind w:left="120"/>
      </w:pPr>
      <w:r>
        <w:rPr/>
        <w:t>The Licence shall remain in force till .........................</w:t>
      </w:r>
    </w:p>
    <w:p>
      <w:pPr>
        <w:pStyle w:val="BodyText"/>
        <w:spacing w:before="4"/>
        <w:rPr>
          <w:sz w:val="17"/>
        </w:rPr>
      </w:pPr>
    </w:p>
    <w:p>
      <w:pPr>
        <w:pStyle w:val="BodyText"/>
        <w:ind w:left="119"/>
      </w:pPr>
      <w:r>
        <w:rPr/>
        <w:t>Date ............................</w:t>
      </w:r>
    </w:p>
    <w:p>
      <w:pPr>
        <w:pStyle w:val="BodyText"/>
        <w:spacing w:before="7"/>
        <w:rPr>
          <w:sz w:val="17"/>
        </w:rPr>
      </w:pPr>
    </w:p>
    <w:p>
      <w:pPr>
        <w:pStyle w:val="Heading1"/>
        <w:spacing w:line="448" w:lineRule="auto"/>
        <w:ind w:right="5370"/>
      </w:pPr>
      <w:r>
        <w:rPr/>
        <w:t>Signature and Seal of the Licensing Officer ANNEXURE</w:t>
      </w:r>
    </w:p>
    <w:p>
      <w:pPr>
        <w:pStyle w:val="BodyText"/>
        <w:spacing w:line="228" w:lineRule="exact"/>
        <w:ind w:left="120"/>
      </w:pPr>
      <w:r>
        <w:rPr/>
        <w:t>The licence is subject to the following conditions:-</w:t>
      </w:r>
    </w:p>
    <w:p>
      <w:pPr>
        <w:pStyle w:val="BodyText"/>
        <w:spacing w:before="4"/>
        <w:rPr>
          <w:sz w:val="17"/>
        </w:rPr>
      </w:pPr>
    </w:p>
    <w:p>
      <w:pPr>
        <w:pStyle w:val="ListParagraph"/>
        <w:numPr>
          <w:ilvl w:val="0"/>
          <w:numId w:val="1"/>
        </w:numPr>
        <w:tabs>
          <w:tab w:pos="841" w:val="left" w:leader="none"/>
        </w:tabs>
        <w:spacing w:line="240" w:lineRule="auto" w:before="0" w:after="0"/>
        <w:ind w:left="840" w:right="0" w:hanging="362"/>
        <w:jc w:val="left"/>
        <w:rPr>
          <w:sz w:val="20"/>
        </w:rPr>
      </w:pPr>
      <w:r>
        <w:rPr>
          <w:sz w:val="20"/>
        </w:rPr>
        <w:t>The licence shall be</w:t>
      </w:r>
      <w:r>
        <w:rPr>
          <w:spacing w:val="-6"/>
          <w:sz w:val="20"/>
        </w:rPr>
        <w:t> </w:t>
      </w:r>
      <w:r>
        <w:rPr>
          <w:sz w:val="20"/>
        </w:rPr>
        <w:t>non-transferable.</w:t>
      </w:r>
    </w:p>
    <w:p>
      <w:pPr>
        <w:pStyle w:val="BodyText"/>
        <w:spacing w:before="5"/>
        <w:rPr>
          <w:sz w:val="17"/>
        </w:rPr>
      </w:pPr>
    </w:p>
    <w:p>
      <w:pPr>
        <w:pStyle w:val="ListParagraph"/>
        <w:numPr>
          <w:ilvl w:val="0"/>
          <w:numId w:val="1"/>
        </w:numPr>
        <w:tabs>
          <w:tab w:pos="841" w:val="left" w:leader="none"/>
        </w:tabs>
        <w:spacing w:line="240" w:lineRule="auto" w:before="0" w:after="0"/>
        <w:ind w:left="839" w:right="119" w:hanging="360"/>
        <w:jc w:val="both"/>
        <w:rPr>
          <w:sz w:val="20"/>
        </w:rPr>
      </w:pPr>
      <w:r>
        <w:rPr>
          <w:sz w:val="20"/>
        </w:rPr>
        <w:t>The number of workmen employed as contract labour in the establishment shall not, on any day, exceed...................</w:t>
      </w:r>
    </w:p>
    <w:p>
      <w:pPr>
        <w:pStyle w:val="BodyText"/>
        <w:spacing w:before="5"/>
        <w:rPr>
          <w:sz w:val="17"/>
        </w:rPr>
      </w:pPr>
    </w:p>
    <w:p>
      <w:pPr>
        <w:pStyle w:val="ListParagraph"/>
        <w:numPr>
          <w:ilvl w:val="0"/>
          <w:numId w:val="1"/>
        </w:numPr>
        <w:tabs>
          <w:tab w:pos="841" w:val="left" w:leader="none"/>
        </w:tabs>
        <w:spacing w:line="240" w:lineRule="auto" w:before="0" w:after="0"/>
        <w:ind w:left="840" w:right="0" w:hanging="362"/>
        <w:jc w:val="left"/>
        <w:rPr>
          <w:sz w:val="20"/>
        </w:rPr>
      </w:pPr>
      <w:r>
        <w:rPr>
          <w:sz w:val="20"/>
        </w:rPr>
        <w:t>Except</w:t>
      </w:r>
      <w:r>
        <w:rPr>
          <w:spacing w:val="-4"/>
          <w:sz w:val="20"/>
        </w:rPr>
        <w:t> </w:t>
      </w:r>
      <w:r>
        <w:rPr>
          <w:sz w:val="20"/>
        </w:rPr>
        <w:t>as</w:t>
      </w:r>
      <w:r>
        <w:rPr>
          <w:spacing w:val="-3"/>
          <w:sz w:val="20"/>
        </w:rPr>
        <w:t> </w:t>
      </w:r>
      <w:r>
        <w:rPr>
          <w:sz w:val="20"/>
        </w:rPr>
        <w:t>provided</w:t>
      </w:r>
      <w:r>
        <w:rPr>
          <w:spacing w:val="-4"/>
          <w:sz w:val="20"/>
        </w:rPr>
        <w:t> </w:t>
      </w:r>
      <w:r>
        <w:rPr>
          <w:sz w:val="20"/>
        </w:rPr>
        <w:t>in</w:t>
      </w:r>
      <w:r>
        <w:rPr>
          <w:spacing w:val="-3"/>
          <w:sz w:val="20"/>
        </w:rPr>
        <w:t> </w:t>
      </w:r>
      <w:r>
        <w:rPr>
          <w:sz w:val="20"/>
        </w:rPr>
        <w:t>the</w:t>
      </w:r>
      <w:r>
        <w:rPr>
          <w:spacing w:val="-3"/>
          <w:sz w:val="20"/>
        </w:rPr>
        <w:t> </w:t>
      </w:r>
      <w:r>
        <w:rPr>
          <w:sz w:val="20"/>
        </w:rPr>
        <w:t>rules</w:t>
      </w:r>
      <w:r>
        <w:rPr>
          <w:spacing w:val="-4"/>
          <w:sz w:val="20"/>
        </w:rPr>
        <w:t> </w:t>
      </w:r>
      <w:r>
        <w:rPr>
          <w:sz w:val="20"/>
        </w:rPr>
        <w:t>the</w:t>
      </w:r>
      <w:r>
        <w:rPr>
          <w:spacing w:val="-3"/>
          <w:sz w:val="20"/>
        </w:rPr>
        <w:t> </w:t>
      </w:r>
      <w:r>
        <w:rPr>
          <w:sz w:val="20"/>
        </w:rPr>
        <w:t>fees</w:t>
      </w:r>
      <w:r>
        <w:rPr>
          <w:spacing w:val="-3"/>
          <w:sz w:val="20"/>
        </w:rPr>
        <w:t> </w:t>
      </w:r>
      <w:r>
        <w:rPr>
          <w:sz w:val="20"/>
        </w:rPr>
        <w:t>paid</w:t>
      </w:r>
      <w:r>
        <w:rPr>
          <w:spacing w:val="-3"/>
          <w:sz w:val="20"/>
        </w:rPr>
        <w:t> </w:t>
      </w:r>
      <w:r>
        <w:rPr>
          <w:sz w:val="20"/>
        </w:rPr>
        <w:t>for</w:t>
      </w:r>
      <w:r>
        <w:rPr>
          <w:spacing w:val="-3"/>
          <w:sz w:val="20"/>
        </w:rPr>
        <w:t> </w:t>
      </w:r>
      <w:r>
        <w:rPr>
          <w:sz w:val="20"/>
        </w:rPr>
        <w:t>the</w:t>
      </w:r>
      <w:r>
        <w:rPr>
          <w:spacing w:val="-3"/>
          <w:sz w:val="20"/>
        </w:rPr>
        <w:t> </w:t>
      </w:r>
      <w:r>
        <w:rPr>
          <w:sz w:val="20"/>
        </w:rPr>
        <w:t>grant</w:t>
      </w:r>
      <w:r>
        <w:rPr>
          <w:spacing w:val="-4"/>
          <w:sz w:val="20"/>
        </w:rPr>
        <w:t> </w:t>
      </w:r>
      <w:r>
        <w:rPr>
          <w:sz w:val="20"/>
        </w:rPr>
        <w:t>of</w:t>
      </w:r>
      <w:r>
        <w:rPr>
          <w:spacing w:val="-3"/>
          <w:sz w:val="20"/>
        </w:rPr>
        <w:t> </w:t>
      </w:r>
      <w:r>
        <w:rPr>
          <w:sz w:val="20"/>
        </w:rPr>
        <w:t>the</w:t>
      </w:r>
      <w:r>
        <w:rPr>
          <w:spacing w:val="-4"/>
          <w:sz w:val="20"/>
        </w:rPr>
        <w:t> </w:t>
      </w:r>
      <w:r>
        <w:rPr>
          <w:sz w:val="20"/>
        </w:rPr>
        <w:t>licence</w:t>
      </w:r>
      <w:r>
        <w:rPr>
          <w:spacing w:val="-3"/>
          <w:sz w:val="20"/>
        </w:rPr>
        <w:t> </w:t>
      </w:r>
      <w:r>
        <w:rPr>
          <w:sz w:val="20"/>
        </w:rPr>
        <w:t>shall</w:t>
      </w:r>
      <w:r>
        <w:rPr>
          <w:spacing w:val="-3"/>
          <w:sz w:val="20"/>
        </w:rPr>
        <w:t> </w:t>
      </w:r>
      <w:r>
        <w:rPr>
          <w:sz w:val="20"/>
        </w:rPr>
        <w:t>be</w:t>
      </w:r>
      <w:r>
        <w:rPr>
          <w:spacing w:val="-5"/>
          <w:sz w:val="20"/>
        </w:rPr>
        <w:t> </w:t>
      </w:r>
      <w:r>
        <w:rPr>
          <w:sz w:val="20"/>
        </w:rPr>
        <w:t>non-refundable.</w:t>
      </w:r>
    </w:p>
    <w:p>
      <w:pPr>
        <w:pStyle w:val="BodyText"/>
        <w:spacing w:before="4"/>
        <w:rPr>
          <w:sz w:val="17"/>
        </w:rPr>
      </w:pPr>
    </w:p>
    <w:p>
      <w:pPr>
        <w:pStyle w:val="ListParagraph"/>
        <w:numPr>
          <w:ilvl w:val="0"/>
          <w:numId w:val="1"/>
        </w:numPr>
        <w:tabs>
          <w:tab w:pos="841" w:val="left" w:leader="none"/>
        </w:tabs>
        <w:spacing w:line="240" w:lineRule="auto" w:before="0" w:after="0"/>
        <w:ind w:left="839" w:right="117" w:hanging="360"/>
        <w:jc w:val="both"/>
        <w:rPr>
          <w:sz w:val="20"/>
        </w:rPr>
      </w:pPr>
      <w:r>
        <w:rPr>
          <w:sz w:val="20"/>
        </w:rPr>
        <w:t>The rate of wages payable to the workmen by the contractor shall not be less than the rates prescribed for the Schedule of employment under the Minimum Wages Act, 1948, where applicable, and where the rates have been fixed by agreement, settlement or award, not less than the rates</w:t>
      </w:r>
      <w:r>
        <w:rPr>
          <w:spacing w:val="-3"/>
          <w:sz w:val="20"/>
        </w:rPr>
        <w:t> </w:t>
      </w:r>
      <w:r>
        <w:rPr>
          <w:sz w:val="20"/>
        </w:rPr>
        <w:t>fixed.</w:t>
      </w:r>
    </w:p>
    <w:p>
      <w:pPr>
        <w:pStyle w:val="BodyText"/>
        <w:spacing w:before="4"/>
        <w:rPr>
          <w:sz w:val="17"/>
        </w:rPr>
      </w:pPr>
    </w:p>
    <w:p>
      <w:pPr>
        <w:pStyle w:val="ListParagraph"/>
        <w:numPr>
          <w:ilvl w:val="0"/>
          <w:numId w:val="1"/>
        </w:numPr>
        <w:tabs>
          <w:tab w:pos="841" w:val="left" w:leader="none"/>
        </w:tabs>
        <w:spacing w:line="240" w:lineRule="auto" w:before="0" w:after="0"/>
        <w:ind w:left="839" w:right="115" w:hanging="360"/>
        <w:jc w:val="both"/>
        <w:rPr>
          <w:sz w:val="20"/>
        </w:rPr>
      </w:pPr>
      <w:r>
        <w:rPr>
          <w:sz w:val="20"/>
        </w:rPr>
        <w:t>In cases where the workmen employed by the contractor perform the same or similar kind of work as the workmen directly employed by the principal employer of the establishment the wage rates, holidays, hours of work and other conditions of service of the workmen of the contractor shall be the same as applicable to the workmen directly employed by the principal employer of the establishment on the same or similar kind of</w:t>
      </w:r>
      <w:r>
        <w:rPr>
          <w:spacing w:val="-10"/>
          <w:sz w:val="20"/>
        </w:rPr>
        <w:t> </w:t>
      </w:r>
      <w:r>
        <w:rPr>
          <w:sz w:val="20"/>
        </w:rPr>
        <w:t>work:</w:t>
      </w:r>
    </w:p>
    <w:p>
      <w:pPr>
        <w:pStyle w:val="BodyText"/>
        <w:spacing w:before="5"/>
        <w:rPr>
          <w:sz w:val="17"/>
        </w:rPr>
      </w:pPr>
    </w:p>
    <w:p>
      <w:pPr>
        <w:pStyle w:val="BodyText"/>
        <w:ind w:left="119" w:right="119"/>
      </w:pPr>
      <w:r>
        <w:rPr/>
        <w:t>PROVIDED that in the case of any disagreement with regard to the type of work the same shall be decided by the Chief Labour Commissioner (Central), whose decision shall be final.</w:t>
      </w:r>
    </w:p>
    <w:p>
      <w:pPr>
        <w:pStyle w:val="BodyText"/>
        <w:spacing w:before="4"/>
        <w:rPr>
          <w:sz w:val="17"/>
        </w:rPr>
      </w:pPr>
    </w:p>
    <w:p>
      <w:pPr>
        <w:pStyle w:val="ListParagraph"/>
        <w:numPr>
          <w:ilvl w:val="0"/>
          <w:numId w:val="1"/>
        </w:numPr>
        <w:tabs>
          <w:tab w:pos="841" w:val="left" w:leader="none"/>
        </w:tabs>
        <w:spacing w:line="240" w:lineRule="auto" w:before="0" w:after="0"/>
        <w:ind w:left="839" w:right="117" w:hanging="360"/>
        <w:jc w:val="both"/>
        <w:rPr>
          <w:sz w:val="20"/>
        </w:rPr>
      </w:pPr>
      <w:r>
        <w:rPr>
          <w:sz w:val="20"/>
        </w:rPr>
        <w:t>In other cases the wage rates, holidays, hours of work and conditions of service of the workmen of the contractor shall be such as may be specified in this behalf by the Chief Labour Commissioner</w:t>
      </w:r>
      <w:r>
        <w:rPr>
          <w:spacing w:val="-1"/>
          <w:sz w:val="20"/>
        </w:rPr>
        <w:t> </w:t>
      </w:r>
      <w:r>
        <w:rPr>
          <w:sz w:val="20"/>
        </w:rPr>
        <w:t>(Central).</w:t>
      </w:r>
    </w:p>
    <w:p>
      <w:pPr>
        <w:pStyle w:val="ListParagraph"/>
        <w:numPr>
          <w:ilvl w:val="0"/>
          <w:numId w:val="1"/>
        </w:numPr>
        <w:tabs>
          <w:tab w:pos="840" w:val="left" w:leader="none"/>
        </w:tabs>
        <w:spacing w:line="240" w:lineRule="auto" w:before="166" w:after="0"/>
        <w:ind w:left="839" w:right="116" w:hanging="361"/>
        <w:jc w:val="both"/>
        <w:rPr>
          <w:sz w:val="20"/>
        </w:rPr>
      </w:pPr>
      <w:r>
        <w:rPr>
          <w:position w:val="10"/>
          <w:sz w:val="13"/>
        </w:rPr>
        <w:t>8</w:t>
      </w:r>
      <w:r>
        <w:rPr>
          <w:sz w:val="20"/>
        </w:rPr>
        <w:t>[ copy of the licence shall be displayed prominently at the premises where the contract work is being carried</w:t>
      </w:r>
      <w:r>
        <w:rPr>
          <w:spacing w:val="-4"/>
          <w:sz w:val="20"/>
        </w:rPr>
        <w:t> </w:t>
      </w:r>
      <w:r>
        <w:rPr>
          <w:sz w:val="20"/>
        </w:rPr>
        <w:t>on.]</w:t>
      </w:r>
    </w:p>
    <w:sectPr>
      <w:type w:val="continuous"/>
      <w:pgSz w:w="12240" w:h="15840"/>
      <w:pgMar w:top="14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40" w:hanging="361"/>
        <w:jc w:val="left"/>
      </w:pPr>
      <w:rPr>
        <w:rFonts w:hint="default" w:ascii="Arial" w:hAnsi="Arial" w:eastAsia="Arial" w:cs="Arial"/>
        <w:spacing w:val="-1"/>
        <w:w w:val="100"/>
        <w:sz w:val="20"/>
        <w:szCs w:val="20"/>
        <w:lang w:val="en-US" w:eastAsia="en-US" w:bidi="ar-SA"/>
      </w:rPr>
    </w:lvl>
    <w:lvl w:ilvl="1">
      <w:start w:val="0"/>
      <w:numFmt w:val="bullet"/>
      <w:lvlText w:val="•"/>
      <w:lvlJc w:val="left"/>
      <w:pPr>
        <w:ind w:left="1716" w:hanging="361"/>
      </w:pPr>
      <w:rPr>
        <w:rFonts w:hint="default"/>
        <w:lang w:val="en-US" w:eastAsia="en-US" w:bidi="ar-SA"/>
      </w:rPr>
    </w:lvl>
    <w:lvl w:ilvl="2">
      <w:start w:val="0"/>
      <w:numFmt w:val="bullet"/>
      <w:lvlText w:val="•"/>
      <w:lvlJc w:val="left"/>
      <w:pPr>
        <w:ind w:left="2592" w:hanging="361"/>
      </w:pPr>
      <w:rPr>
        <w:rFonts w:hint="default"/>
        <w:lang w:val="en-US" w:eastAsia="en-US" w:bidi="ar-SA"/>
      </w:rPr>
    </w:lvl>
    <w:lvl w:ilvl="3">
      <w:start w:val="0"/>
      <w:numFmt w:val="bullet"/>
      <w:lvlText w:val="•"/>
      <w:lvlJc w:val="left"/>
      <w:pPr>
        <w:ind w:left="3468" w:hanging="361"/>
      </w:pPr>
      <w:rPr>
        <w:rFonts w:hint="default"/>
        <w:lang w:val="en-US" w:eastAsia="en-US" w:bidi="ar-SA"/>
      </w:rPr>
    </w:lvl>
    <w:lvl w:ilvl="4">
      <w:start w:val="0"/>
      <w:numFmt w:val="bullet"/>
      <w:lvlText w:val="•"/>
      <w:lvlJc w:val="left"/>
      <w:pPr>
        <w:ind w:left="4344" w:hanging="361"/>
      </w:pPr>
      <w:rPr>
        <w:rFonts w:hint="default"/>
        <w:lang w:val="en-US" w:eastAsia="en-US" w:bidi="ar-SA"/>
      </w:rPr>
    </w:lvl>
    <w:lvl w:ilvl="5">
      <w:start w:val="0"/>
      <w:numFmt w:val="bullet"/>
      <w:lvlText w:val="•"/>
      <w:lvlJc w:val="left"/>
      <w:pPr>
        <w:ind w:left="5220" w:hanging="361"/>
      </w:pPr>
      <w:rPr>
        <w:rFonts w:hint="default"/>
        <w:lang w:val="en-US" w:eastAsia="en-US" w:bidi="ar-SA"/>
      </w:rPr>
    </w:lvl>
    <w:lvl w:ilvl="6">
      <w:start w:val="0"/>
      <w:numFmt w:val="bullet"/>
      <w:lvlText w:val="•"/>
      <w:lvlJc w:val="left"/>
      <w:pPr>
        <w:ind w:left="6096" w:hanging="361"/>
      </w:pPr>
      <w:rPr>
        <w:rFonts w:hint="default"/>
        <w:lang w:val="en-US" w:eastAsia="en-US" w:bidi="ar-SA"/>
      </w:rPr>
    </w:lvl>
    <w:lvl w:ilvl="7">
      <w:start w:val="0"/>
      <w:numFmt w:val="bullet"/>
      <w:lvlText w:val="•"/>
      <w:lvlJc w:val="left"/>
      <w:pPr>
        <w:ind w:left="6972" w:hanging="361"/>
      </w:pPr>
      <w:rPr>
        <w:rFonts w:hint="default"/>
        <w:lang w:val="en-US" w:eastAsia="en-US" w:bidi="ar-SA"/>
      </w:rPr>
    </w:lvl>
    <w:lvl w:ilvl="8">
      <w:start w:val="0"/>
      <w:numFmt w:val="bullet"/>
      <w:lvlText w:val="•"/>
      <w:lvlJc w:val="left"/>
      <w:pPr>
        <w:ind w:left="7848"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2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839" w:hanging="360"/>
      <w:jc w:val="both"/>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- 195</dc:title>
  <dcterms:created xsi:type="dcterms:W3CDTF">2020-09-15T12:39:39Z</dcterms:created>
  <dcterms:modified xsi:type="dcterms:W3CDTF">2020-09-15T12:39:39Z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2009-07-31T00:00:00Z</vt:filetime>
  </property>
  <property fmtid="{D5CDD505-2E9C-101B-9397-08002B2CF9AE}" pid="3" name="Creator">
    <vt:lpwstr>PScript5.dll Version 5.2</vt:lpwstr>
  </property>
  <property fmtid="{D5CDD505-2E9C-101B-9397-08002B2CF9AE}" pid="4" name="LastSaved">
    <vt:filetime>2020-09-15T00:00:00Z</vt:filetime>
  </property>
</Properties>
</file>