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Form- O1: Notice of Commencement of Lay-Off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right="8505"/>
      </w:pPr>
      <w:r>
        <w:rPr/>
        <w:t>(Rule 75A) To</w:t>
      </w:r>
    </w:p>
    <w:p>
      <w:pPr>
        <w:pStyle w:val="BodyText"/>
        <w:tabs>
          <w:tab w:pos="6143" w:val="left" w:leader="none"/>
        </w:tabs>
        <w:spacing w:line="448" w:lineRule="auto"/>
        <w:ind w:right="708"/>
      </w:pPr>
      <w:r>
        <w:rPr/>
        <w:t>The Regional Labour</w:t>
      </w:r>
      <w:r>
        <w:rPr>
          <w:spacing w:val="-8"/>
        </w:rPr>
        <w:t> </w:t>
      </w:r>
      <w:r>
        <w:rPr/>
        <w:t>Commr.</w:t>
      </w:r>
      <w:r>
        <w:rPr>
          <w:spacing w:val="-2"/>
        </w:rPr>
        <w:t> </w:t>
      </w:r>
      <w:r>
        <w:rPr/>
        <w:t>(Central),</w:t>
      </w:r>
      <w:r>
        <w:rPr>
          <w:u w:val="single"/>
        </w:rPr>
        <w:t> </w:t>
        <w:tab/>
      </w:r>
      <w:r>
        <w:rPr/>
        <w:t>(specify the region concerned) Sir,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29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Under</w:t>
      </w:r>
      <w:r>
        <w:rPr>
          <w:spacing w:val="13"/>
          <w:sz w:val="20"/>
        </w:rPr>
        <w:t> </w:t>
      </w:r>
      <w:r>
        <w:rPr>
          <w:sz w:val="20"/>
        </w:rPr>
        <w:t>rule</w:t>
      </w:r>
      <w:r>
        <w:rPr>
          <w:spacing w:val="13"/>
          <w:sz w:val="20"/>
        </w:rPr>
        <w:t> </w:t>
      </w:r>
      <w:r>
        <w:rPr>
          <w:sz w:val="20"/>
        </w:rPr>
        <w:t>75A</w:t>
      </w:r>
      <w:r>
        <w:rPr>
          <w:spacing w:val="14"/>
          <w:sz w:val="20"/>
        </w:rPr>
        <w:t> </w:t>
      </w:r>
      <w:r>
        <w:rPr>
          <w:sz w:val="20"/>
        </w:rPr>
        <w:t>of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Industrial</w:t>
      </w:r>
      <w:r>
        <w:rPr>
          <w:spacing w:val="13"/>
          <w:sz w:val="20"/>
        </w:rPr>
        <w:t> </w:t>
      </w:r>
      <w:r>
        <w:rPr>
          <w:sz w:val="20"/>
        </w:rPr>
        <w:t>Disputes</w:t>
      </w:r>
      <w:r>
        <w:rPr>
          <w:spacing w:val="13"/>
          <w:sz w:val="20"/>
        </w:rPr>
        <w:t> </w:t>
      </w:r>
      <w:r>
        <w:rPr>
          <w:sz w:val="20"/>
        </w:rPr>
        <w:t>(Central)</w:t>
      </w:r>
      <w:r>
        <w:rPr>
          <w:spacing w:val="13"/>
          <w:sz w:val="20"/>
        </w:rPr>
        <w:t> </w:t>
      </w:r>
      <w:r>
        <w:rPr>
          <w:sz w:val="20"/>
        </w:rPr>
        <w:t>Rules,</w:t>
      </w:r>
      <w:r>
        <w:rPr>
          <w:spacing w:val="14"/>
          <w:sz w:val="20"/>
        </w:rPr>
        <w:t> </w:t>
      </w:r>
      <w:r>
        <w:rPr>
          <w:sz w:val="20"/>
        </w:rPr>
        <w:t>1957,</w:t>
      </w:r>
      <w:r>
        <w:rPr>
          <w:spacing w:val="13"/>
          <w:sz w:val="20"/>
        </w:rPr>
        <w:t> </w:t>
      </w:r>
      <w:r>
        <w:rPr>
          <w:sz w:val="20"/>
        </w:rPr>
        <w:t>I</w:t>
      </w:r>
      <w:r>
        <w:rPr>
          <w:spacing w:val="14"/>
          <w:sz w:val="20"/>
        </w:rPr>
        <w:t> </w:t>
      </w:r>
      <w:r>
        <w:rPr>
          <w:sz w:val="20"/>
        </w:rPr>
        <w:t>/</w:t>
      </w:r>
      <w:r>
        <w:rPr>
          <w:spacing w:val="14"/>
          <w:sz w:val="20"/>
        </w:rPr>
        <w:t> </w:t>
      </w:r>
      <w:r>
        <w:rPr>
          <w:sz w:val="20"/>
        </w:rPr>
        <w:t>we</w:t>
      </w:r>
      <w:r>
        <w:rPr>
          <w:spacing w:val="14"/>
          <w:sz w:val="20"/>
        </w:rPr>
        <w:t> </w:t>
      </w:r>
      <w:r>
        <w:rPr>
          <w:sz w:val="20"/>
        </w:rPr>
        <w:t>hereby</w:t>
      </w:r>
      <w:r>
        <w:rPr>
          <w:spacing w:val="14"/>
          <w:sz w:val="20"/>
        </w:rPr>
        <w:t> </w:t>
      </w:r>
      <w:r>
        <w:rPr>
          <w:sz w:val="20"/>
        </w:rPr>
        <w:t>inform</w:t>
      </w:r>
      <w:r>
        <w:rPr>
          <w:spacing w:val="15"/>
          <w:sz w:val="20"/>
        </w:rPr>
        <w:t> </w:t>
      </w:r>
      <w:r>
        <w:rPr>
          <w:sz w:val="20"/>
        </w:rPr>
        <w:t>that</w:t>
      </w:r>
      <w:r>
        <w:rPr>
          <w:spacing w:val="14"/>
          <w:sz w:val="20"/>
        </w:rPr>
        <w:t> </w:t>
      </w:r>
      <w:r>
        <w:rPr>
          <w:sz w:val="20"/>
        </w:rPr>
        <w:t>I</w:t>
      </w:r>
      <w:r>
        <w:rPr>
          <w:spacing w:val="14"/>
          <w:sz w:val="20"/>
        </w:rPr>
        <w:t> </w:t>
      </w:r>
      <w:r>
        <w:rPr>
          <w:sz w:val="20"/>
        </w:rPr>
        <w:t>/</w:t>
      </w:r>
      <w:r>
        <w:rPr>
          <w:spacing w:val="14"/>
          <w:sz w:val="20"/>
        </w:rPr>
        <w:t> </w:t>
      </w:r>
      <w:r>
        <w:rPr>
          <w:sz w:val="20"/>
        </w:rPr>
        <w:t>we</w:t>
      </w:r>
    </w:p>
    <w:p>
      <w:pPr>
        <w:spacing w:after="0" w:line="229" w:lineRule="exact"/>
        <w:jc w:val="left"/>
        <w:rPr>
          <w:sz w:val="20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3850" w:val="left" w:leader="none"/>
        </w:tabs>
        <w:ind w:left="839"/>
      </w:pPr>
      <w:r>
        <w:rPr/>
        <w:t>have </w:t>
      </w:r>
      <w:r>
        <w:rPr>
          <w:spacing w:val="42"/>
        </w:rPr>
        <w:t> </w:t>
      </w:r>
      <w:r>
        <w:rPr/>
        <w:t>laid-off  </w:t>
      </w:r>
      <w:r>
        <w:rPr>
          <w:spacing w:val="-15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867" w:val="left" w:leader="none"/>
        </w:tabs>
        <w:ind w:left="112"/>
      </w:pPr>
      <w:r>
        <w:rPr/>
        <w:br w:type="column"/>
      </w:r>
      <w:r>
        <w:rPr/>
        <w:t>out   of   a   total</w:t>
      </w:r>
      <w:r>
        <w:rPr>
          <w:spacing w:val="52"/>
        </w:rPr>
        <w:t> </w:t>
      </w:r>
      <w:r>
        <w:rPr/>
        <w:t>of  </w:t>
      </w:r>
      <w:r>
        <w:rPr>
          <w:spacing w:val="-15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12"/>
      </w:pPr>
      <w:r>
        <w:rPr/>
        <w:br w:type="column"/>
      </w:r>
      <w:r>
        <w:rPr/>
        <w:t>workmen employed in the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3" w:equalWidth="0">
            <w:col w:w="3851" w:space="40"/>
            <w:col w:w="2868" w:space="39"/>
            <w:col w:w="2802"/>
          </w:cols>
        </w:sectPr>
      </w:pPr>
    </w:p>
    <w:p>
      <w:pPr>
        <w:pStyle w:val="BodyText"/>
        <w:tabs>
          <w:tab w:pos="4053" w:val="left" w:leader="none"/>
        </w:tabs>
        <w:spacing w:line="230" w:lineRule="exact"/>
        <w:ind w:left="839"/>
      </w:pPr>
      <w:r>
        <w:rPr/>
        <w:t>establishment</w:t>
      </w:r>
      <w:r>
        <w:rPr>
          <w:spacing w:val="-2"/>
        </w:rPr>
        <w:t> </w:t>
      </w:r>
      <w:r>
        <w:rPr/>
        <w:t>w.e.f.</w:t>
      </w:r>
      <w:r>
        <w:rPr>
          <w:u w:val="single"/>
        </w:rPr>
        <w:t> </w:t>
        <w:tab/>
      </w:r>
      <w:r>
        <w:rPr/>
        <w:t>for the reasons explained in the</w:t>
      </w:r>
      <w:r>
        <w:rPr>
          <w:spacing w:val="-7"/>
        </w:rPr>
        <w:t> </w:t>
      </w:r>
      <w:r>
        <w:rPr/>
        <w:t>Annexure.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Such of the workmen concerned as are entitled to compensation under section 25C of the Industrial Disputes Act, 1947, will be paid compensation due to</w:t>
      </w:r>
      <w:r>
        <w:rPr>
          <w:spacing w:val="-18"/>
          <w:sz w:val="20"/>
        </w:rPr>
        <w:t> </w:t>
      </w:r>
      <w:r>
        <w:rPr>
          <w:sz w:val="20"/>
        </w:rPr>
        <w:t>them.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 w:before="1"/>
        <w:ind w:right="7771"/>
      </w:pPr>
      <w:r>
        <w:rPr/>
        <w:t>Yours faithfully Copy forwarded to:</w:t>
      </w:r>
    </w:p>
    <w:p>
      <w:pPr>
        <w:pStyle w:val="BodyText"/>
        <w:tabs>
          <w:tab w:pos="8003" w:val="left" w:leader="none"/>
        </w:tabs>
        <w:spacing w:line="448" w:lineRule="auto"/>
        <w:ind w:left="120" w:right="1594"/>
      </w:pPr>
      <w:r>
        <w:rPr/>
        <w:t>Asstt. Labour Commissioner (Central) of</w:t>
      </w:r>
      <w:r>
        <w:rPr>
          <w:spacing w:val="-31"/>
        </w:rPr>
        <w:t> </w:t>
      </w:r>
      <w:r>
        <w:rPr/>
        <w:t>local</w:t>
      </w:r>
      <w:r>
        <w:rPr>
          <w:spacing w:val="-6"/>
        </w:rPr>
        <w:t> </w:t>
      </w:r>
      <w:r>
        <w:rPr/>
        <w:t>area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ANNEXURE</w:t>
      </w:r>
    </w:p>
    <w:p>
      <w:pPr>
        <w:pStyle w:val="BodyText"/>
        <w:ind w:left="120"/>
      </w:pPr>
      <w:r>
        <w:rPr/>
        <w:t>Statement of reasons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- 210</dc:title>
  <dcterms:created xsi:type="dcterms:W3CDTF">2020-09-15T12:40:41Z</dcterms:created>
  <dcterms:modified xsi:type="dcterms:W3CDTF">2020-09-15T12:40:41Z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