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Renewal</w:t>
      </w:r>
    </w:p>
    <w:p>
      <w:pPr>
        <w:pStyle w:val="BodyText"/>
        <w:spacing w:before="4"/>
        <w:ind w:left="0" w:firstLine="0"/>
        <w:jc w:val="left"/>
        <w:rPr>
          <w:b/>
          <w:sz w:val="17"/>
        </w:rPr>
      </w:pPr>
    </w:p>
    <w:p>
      <w:pPr>
        <w:pStyle w:val="BodyText"/>
        <w:ind w:left="140" w:firstLine="0"/>
        <w:jc w:val="left"/>
      </w:pPr>
      <w:r>
        <w:rPr/>
        <w:t>[Rule 29]</w:t>
      </w:r>
    </w:p>
    <w:p>
      <w:pPr>
        <w:pStyle w:val="BodyText"/>
        <w:spacing w:before="10"/>
        <w:ind w:left="0" w:firstLine="0"/>
        <w:jc w:val="left"/>
        <w:rPr>
          <w:sz w:val="18"/>
        </w:rPr>
      </w:pPr>
    </w:p>
    <w:tbl>
      <w:tblPr>
        <w:tblW w:w="0" w:type="auto"/>
        <w:jc w:val="left"/>
        <w:tblInd w:w="144" w:type="dxa"/>
        <w:tblBorders>
          <w:top w:val="double" w:sz="2" w:space="0" w:color="ACA89A"/>
          <w:left w:val="double" w:sz="2" w:space="0" w:color="ACA89A"/>
          <w:bottom w:val="double" w:sz="2" w:space="0" w:color="ACA89A"/>
          <w:right w:val="double" w:sz="2" w:space="0" w:color="ACA89A"/>
          <w:insideH w:val="double" w:sz="2" w:space="0" w:color="ACA89A"/>
          <w:insideV w:val="double" w:sz="2" w:space="0" w:color="ACA89A"/>
        </w:tblBorders>
        <w:tblLayout w:type="fixed"/>
        <w:tblCellMar>
          <w:top w:w="0" w:type="dxa"/>
          <w:left w:w="0" w:type="dxa"/>
          <w:bottom w:w="0" w:type="dxa"/>
          <w:right w:w="0" w:type="dxa"/>
        </w:tblCellMar>
        <w:tblLook w:val="01E0"/>
      </w:tblPr>
      <w:tblGrid>
        <w:gridCol w:w="1441"/>
        <w:gridCol w:w="1868"/>
        <w:gridCol w:w="1274"/>
      </w:tblGrid>
      <w:tr>
        <w:trPr>
          <w:trHeight w:val="529" w:hRule="atLeast"/>
        </w:trPr>
        <w:tc>
          <w:tcPr>
            <w:tcW w:w="1441" w:type="dxa"/>
            <w:tcBorders>
              <w:left w:val="double" w:sz="2" w:space="0" w:color="ECE9D8"/>
            </w:tcBorders>
          </w:tcPr>
          <w:p>
            <w:pPr>
              <w:pStyle w:val="TableParagraph"/>
              <w:spacing w:before="97"/>
              <w:ind w:left="2" w:right="-15"/>
              <w:rPr>
                <w:i/>
                <w:sz w:val="20"/>
              </w:rPr>
            </w:pPr>
            <w:r>
              <w:rPr>
                <w:i/>
                <w:sz w:val="20"/>
              </w:rPr>
              <w:t>Date of</w:t>
            </w:r>
            <w:r>
              <w:rPr>
                <w:i/>
                <w:spacing w:val="-7"/>
                <w:sz w:val="20"/>
              </w:rPr>
              <w:t> </w:t>
            </w:r>
            <w:r>
              <w:rPr>
                <w:i/>
                <w:sz w:val="20"/>
              </w:rPr>
              <w:t>renewal</w:t>
            </w:r>
          </w:p>
        </w:tc>
        <w:tc>
          <w:tcPr>
            <w:tcW w:w="1868" w:type="dxa"/>
          </w:tcPr>
          <w:p>
            <w:pPr>
              <w:pStyle w:val="TableParagraph"/>
              <w:spacing w:before="97"/>
              <w:ind w:left="6" w:right="-15"/>
              <w:rPr>
                <w:i/>
                <w:sz w:val="20"/>
              </w:rPr>
            </w:pPr>
            <w:r>
              <w:rPr>
                <w:i/>
                <w:sz w:val="20"/>
              </w:rPr>
              <w:t>Fee paid for</w:t>
            </w:r>
            <w:r>
              <w:rPr>
                <w:i/>
                <w:spacing w:val="-5"/>
                <w:sz w:val="20"/>
              </w:rPr>
              <w:t> </w:t>
            </w:r>
            <w:r>
              <w:rPr>
                <w:i/>
                <w:sz w:val="20"/>
              </w:rPr>
              <w:t>renewal</w:t>
            </w:r>
          </w:p>
        </w:tc>
        <w:tc>
          <w:tcPr>
            <w:tcW w:w="1274" w:type="dxa"/>
          </w:tcPr>
          <w:p>
            <w:pPr>
              <w:pStyle w:val="TableParagraph"/>
              <w:spacing w:before="97"/>
              <w:ind w:left="6" w:right="-15"/>
              <w:rPr>
                <w:i/>
                <w:sz w:val="20"/>
              </w:rPr>
            </w:pPr>
            <w:r>
              <w:rPr>
                <w:i/>
                <w:sz w:val="20"/>
              </w:rPr>
              <w:t>Date of</w:t>
            </w:r>
            <w:r>
              <w:rPr>
                <w:i/>
                <w:spacing w:val="-8"/>
                <w:sz w:val="20"/>
              </w:rPr>
              <w:t> </w:t>
            </w:r>
            <w:r>
              <w:rPr>
                <w:i/>
                <w:sz w:val="20"/>
              </w:rPr>
              <w:t>expiry</w:t>
            </w:r>
          </w:p>
        </w:tc>
      </w:tr>
      <w:tr>
        <w:trPr>
          <w:trHeight w:val="528" w:hRule="atLeast"/>
        </w:trPr>
        <w:tc>
          <w:tcPr>
            <w:tcW w:w="1441" w:type="dxa"/>
            <w:tcBorders>
              <w:left w:val="double" w:sz="2" w:space="0" w:color="ECE9D8"/>
            </w:tcBorders>
          </w:tcPr>
          <w:p>
            <w:pPr>
              <w:pStyle w:val="TableParagraph"/>
              <w:spacing w:before="96"/>
              <w:ind w:left="2"/>
              <w:rPr>
                <w:sz w:val="20"/>
              </w:rPr>
            </w:pPr>
            <w:r>
              <w:rPr>
                <w:sz w:val="20"/>
              </w:rPr>
              <w:t>1.</w:t>
            </w:r>
          </w:p>
        </w:tc>
        <w:tc>
          <w:tcPr>
            <w:tcW w:w="1868" w:type="dxa"/>
          </w:tcPr>
          <w:p>
            <w:pPr>
              <w:pStyle w:val="TableParagraph"/>
              <w:rPr>
                <w:rFonts w:ascii="Times New Roman"/>
                <w:sz w:val="20"/>
              </w:rPr>
            </w:pPr>
          </w:p>
        </w:tc>
        <w:tc>
          <w:tcPr>
            <w:tcW w:w="1274" w:type="dxa"/>
          </w:tcPr>
          <w:p>
            <w:pPr>
              <w:pStyle w:val="TableParagraph"/>
              <w:rPr>
                <w:rFonts w:ascii="Times New Roman"/>
                <w:sz w:val="20"/>
              </w:rPr>
            </w:pPr>
          </w:p>
        </w:tc>
      </w:tr>
      <w:tr>
        <w:trPr>
          <w:trHeight w:val="528" w:hRule="atLeast"/>
        </w:trPr>
        <w:tc>
          <w:tcPr>
            <w:tcW w:w="1441" w:type="dxa"/>
            <w:tcBorders>
              <w:left w:val="double" w:sz="2" w:space="0" w:color="ECE9D8"/>
            </w:tcBorders>
          </w:tcPr>
          <w:p>
            <w:pPr>
              <w:pStyle w:val="TableParagraph"/>
              <w:spacing w:before="96"/>
              <w:ind w:left="2"/>
              <w:rPr>
                <w:sz w:val="20"/>
              </w:rPr>
            </w:pPr>
            <w:r>
              <w:rPr>
                <w:sz w:val="20"/>
              </w:rPr>
              <w:t>2.</w:t>
            </w:r>
          </w:p>
        </w:tc>
        <w:tc>
          <w:tcPr>
            <w:tcW w:w="1868" w:type="dxa"/>
          </w:tcPr>
          <w:p>
            <w:pPr>
              <w:pStyle w:val="TableParagraph"/>
              <w:rPr>
                <w:rFonts w:ascii="Times New Roman"/>
                <w:sz w:val="20"/>
              </w:rPr>
            </w:pPr>
          </w:p>
        </w:tc>
        <w:tc>
          <w:tcPr>
            <w:tcW w:w="1274" w:type="dxa"/>
          </w:tcPr>
          <w:p>
            <w:pPr>
              <w:pStyle w:val="TableParagraph"/>
              <w:rPr>
                <w:rFonts w:ascii="Times New Roman"/>
                <w:sz w:val="20"/>
              </w:rPr>
            </w:pPr>
          </w:p>
        </w:tc>
      </w:tr>
      <w:tr>
        <w:trPr>
          <w:trHeight w:val="529" w:hRule="atLeast"/>
        </w:trPr>
        <w:tc>
          <w:tcPr>
            <w:tcW w:w="1441" w:type="dxa"/>
            <w:tcBorders>
              <w:left w:val="double" w:sz="2" w:space="0" w:color="ECE9D8"/>
            </w:tcBorders>
          </w:tcPr>
          <w:p>
            <w:pPr>
              <w:pStyle w:val="TableParagraph"/>
              <w:spacing w:before="97"/>
              <w:ind w:left="2"/>
              <w:rPr>
                <w:sz w:val="20"/>
              </w:rPr>
            </w:pPr>
            <w:r>
              <w:rPr>
                <w:sz w:val="20"/>
              </w:rPr>
              <w:t>3.</w:t>
            </w:r>
          </w:p>
        </w:tc>
        <w:tc>
          <w:tcPr>
            <w:tcW w:w="1868" w:type="dxa"/>
          </w:tcPr>
          <w:p>
            <w:pPr>
              <w:pStyle w:val="TableParagraph"/>
              <w:rPr>
                <w:rFonts w:ascii="Times New Roman"/>
                <w:sz w:val="20"/>
              </w:rPr>
            </w:pPr>
          </w:p>
        </w:tc>
        <w:tc>
          <w:tcPr>
            <w:tcW w:w="1274" w:type="dxa"/>
          </w:tcPr>
          <w:p>
            <w:pPr>
              <w:pStyle w:val="TableParagraph"/>
              <w:rPr>
                <w:rFonts w:ascii="Times New Roman"/>
                <w:sz w:val="20"/>
              </w:rPr>
            </w:pPr>
          </w:p>
        </w:tc>
      </w:tr>
    </w:tbl>
    <w:p>
      <w:pPr>
        <w:tabs>
          <w:tab w:pos="5063" w:val="left" w:leader="none"/>
        </w:tabs>
        <w:spacing w:line="451" w:lineRule="auto" w:before="112"/>
        <w:ind w:left="140" w:right="464" w:firstLine="0"/>
        <w:jc w:val="left"/>
        <w:rPr>
          <w:b/>
          <w:sz w:val="20"/>
        </w:rPr>
      </w:pPr>
      <w:r>
        <w:rPr>
          <w:sz w:val="20"/>
        </w:rPr>
        <w:t>Date.............</w:t>
        <w:tab/>
      </w:r>
      <w:r>
        <w:rPr>
          <w:b/>
          <w:sz w:val="20"/>
        </w:rPr>
        <w:t>Signature and Seal of the Licensing Officer ANNEXURE</w:t>
      </w:r>
    </w:p>
    <w:p>
      <w:pPr>
        <w:pStyle w:val="BodyText"/>
        <w:spacing w:line="226" w:lineRule="exact"/>
        <w:ind w:left="140" w:firstLine="0"/>
        <w:jc w:val="left"/>
      </w:pPr>
      <w:r>
        <w:rPr/>
        <w:t>The licence is subject to the following conditions-</w:t>
      </w:r>
    </w:p>
    <w:p>
      <w:pPr>
        <w:pStyle w:val="BodyText"/>
        <w:spacing w:before="3"/>
        <w:ind w:left="0" w:firstLine="0"/>
        <w:jc w:val="left"/>
        <w:rPr>
          <w:sz w:val="17"/>
        </w:rPr>
      </w:pPr>
    </w:p>
    <w:p>
      <w:pPr>
        <w:pStyle w:val="ListParagraph"/>
        <w:numPr>
          <w:ilvl w:val="0"/>
          <w:numId w:val="1"/>
        </w:numPr>
        <w:tabs>
          <w:tab w:pos="861" w:val="left" w:leader="none"/>
        </w:tabs>
        <w:spacing w:line="240" w:lineRule="auto" w:before="1" w:after="0"/>
        <w:ind w:left="860" w:right="0" w:hanging="362"/>
        <w:jc w:val="both"/>
        <w:rPr>
          <w:sz w:val="20"/>
        </w:rPr>
      </w:pPr>
      <w:r>
        <w:rPr>
          <w:sz w:val="20"/>
        </w:rPr>
        <w:t>The licence shall be</w:t>
      </w:r>
      <w:r>
        <w:rPr>
          <w:spacing w:val="-6"/>
          <w:sz w:val="20"/>
        </w:rPr>
        <w:t> </w:t>
      </w:r>
      <w:r>
        <w:rPr>
          <w:sz w:val="20"/>
        </w:rPr>
        <w:t>non-transferable.</w:t>
      </w:r>
    </w:p>
    <w:p>
      <w:pPr>
        <w:pStyle w:val="ListParagraph"/>
        <w:numPr>
          <w:ilvl w:val="0"/>
          <w:numId w:val="1"/>
        </w:numPr>
        <w:tabs>
          <w:tab w:pos="861" w:val="left" w:leader="none"/>
        </w:tabs>
        <w:spacing w:line="240" w:lineRule="auto" w:before="0" w:after="0"/>
        <w:ind w:left="859" w:right="119" w:hanging="360"/>
        <w:jc w:val="both"/>
        <w:rPr>
          <w:sz w:val="20"/>
        </w:rPr>
      </w:pPr>
      <w:r>
        <w:rPr>
          <w:sz w:val="20"/>
        </w:rPr>
        <w:t>The number of workmen employed as contract labour in the establishment shall not, on any day, exceed............................</w:t>
      </w:r>
    </w:p>
    <w:p>
      <w:pPr>
        <w:pStyle w:val="ListParagraph"/>
        <w:numPr>
          <w:ilvl w:val="0"/>
          <w:numId w:val="1"/>
        </w:numPr>
        <w:tabs>
          <w:tab w:pos="861" w:val="left" w:leader="none"/>
        </w:tabs>
        <w:spacing w:line="240" w:lineRule="auto" w:before="0" w:after="0"/>
        <w:ind w:left="859" w:right="116" w:hanging="360"/>
        <w:jc w:val="both"/>
        <w:rPr>
          <w:sz w:val="20"/>
        </w:rPr>
      </w:pPr>
      <w:r>
        <w:rPr>
          <w:sz w:val="20"/>
        </w:rPr>
        <w:t>Except as provided in the rules the fees paid for the grant, or as the case may be, for renewal of the licence shall be</w:t>
      </w:r>
      <w:r>
        <w:rPr>
          <w:spacing w:val="-6"/>
          <w:sz w:val="20"/>
        </w:rPr>
        <w:t> </w:t>
      </w:r>
      <w:r>
        <w:rPr>
          <w:sz w:val="20"/>
        </w:rPr>
        <w:t>non-refundable.</w:t>
      </w:r>
    </w:p>
    <w:p>
      <w:pPr>
        <w:pStyle w:val="ListParagraph"/>
        <w:numPr>
          <w:ilvl w:val="0"/>
          <w:numId w:val="1"/>
        </w:numPr>
        <w:tabs>
          <w:tab w:pos="861" w:val="left" w:leader="none"/>
        </w:tabs>
        <w:spacing w:line="240" w:lineRule="auto" w:before="0" w:after="0"/>
        <w:ind w:left="859" w:right="117" w:hanging="360"/>
        <w:jc w:val="both"/>
        <w:rPr>
          <w:sz w:val="20"/>
        </w:rPr>
      </w:pPr>
      <w:r>
        <w:rPr>
          <w:sz w:val="20"/>
        </w:rPr>
        <w:t>The rates of wages payable to the workmen by the contractor shall not be less than the rates prescribed for the Schedule of employment under the Minimum Wages Act, 1948, where applicable, and where the rates have been fixed by agreement, settlement or award, not less than the rates</w:t>
      </w:r>
      <w:r>
        <w:rPr>
          <w:spacing w:val="-3"/>
          <w:sz w:val="20"/>
        </w:rPr>
        <w:t> </w:t>
      </w:r>
      <w:r>
        <w:rPr>
          <w:sz w:val="20"/>
        </w:rPr>
        <w:t>fixed.</w:t>
      </w:r>
    </w:p>
    <w:p>
      <w:pPr>
        <w:pStyle w:val="ListParagraph"/>
        <w:numPr>
          <w:ilvl w:val="0"/>
          <w:numId w:val="1"/>
        </w:numPr>
        <w:tabs>
          <w:tab w:pos="861" w:val="left" w:leader="none"/>
        </w:tabs>
        <w:spacing w:line="240" w:lineRule="auto" w:before="0" w:after="0"/>
        <w:ind w:left="859" w:right="115" w:hanging="360"/>
        <w:jc w:val="both"/>
        <w:rPr>
          <w:sz w:val="20"/>
        </w:rPr>
      </w:pPr>
      <w:r>
        <w:rPr>
          <w:sz w:val="20"/>
        </w:rPr>
        <w:t>In cases where the workmen employed by the contractor perform the same or similar kind of work as the workmen directly employed by the principal employer of the establishment, the wage rates, holidays, hours of work and other conditions of service of the workmen of the contractor shall be the same as applicable to the workmen directly employed by the principal employer of the establishment on the same or similar kind of work; provided that in the case of any disagreement with regard to the type of work the same shall be decided by the Chief Labour Commissioner (Central), whose decision shall be</w:t>
      </w:r>
      <w:r>
        <w:rPr>
          <w:spacing w:val="-6"/>
          <w:sz w:val="20"/>
        </w:rPr>
        <w:t> </w:t>
      </w:r>
      <w:r>
        <w:rPr>
          <w:sz w:val="20"/>
        </w:rPr>
        <w:t>final.</w:t>
      </w:r>
    </w:p>
    <w:p>
      <w:pPr>
        <w:pStyle w:val="ListParagraph"/>
        <w:numPr>
          <w:ilvl w:val="0"/>
          <w:numId w:val="1"/>
        </w:numPr>
        <w:tabs>
          <w:tab w:pos="861" w:val="left" w:leader="none"/>
        </w:tabs>
        <w:spacing w:line="240" w:lineRule="auto" w:before="0" w:after="0"/>
        <w:ind w:left="859" w:right="117" w:hanging="360"/>
        <w:jc w:val="both"/>
        <w:rPr>
          <w:sz w:val="20"/>
        </w:rPr>
      </w:pPr>
      <w:r>
        <w:rPr>
          <w:sz w:val="20"/>
        </w:rPr>
        <w:t>In other cases the wage rates, holidays, hours of work and conditions of service of the workmen of the contractor shall be such as may be specified in this behalf by the Chief Labour Commissioner</w:t>
      </w:r>
      <w:r>
        <w:rPr>
          <w:spacing w:val="-1"/>
          <w:sz w:val="20"/>
        </w:rPr>
        <w:t> </w:t>
      </w:r>
      <w:r>
        <w:rPr>
          <w:sz w:val="20"/>
        </w:rPr>
        <w:t>(Central).</w:t>
      </w:r>
    </w:p>
    <w:p>
      <w:pPr>
        <w:pStyle w:val="ListParagraph"/>
        <w:numPr>
          <w:ilvl w:val="0"/>
          <w:numId w:val="1"/>
        </w:numPr>
        <w:tabs>
          <w:tab w:pos="861" w:val="left" w:leader="none"/>
        </w:tabs>
        <w:spacing w:line="240" w:lineRule="auto" w:before="0" w:after="0"/>
        <w:ind w:left="860" w:right="116" w:hanging="361"/>
        <w:jc w:val="both"/>
        <w:rPr>
          <w:sz w:val="20"/>
        </w:rPr>
      </w:pPr>
      <w:r>
        <w:rPr>
          <w:sz w:val="20"/>
        </w:rPr>
        <w:t>In every establishment where 20 or more women are ordinarily employed as contract labour there shall be provided two rooms of reasonable dimensions for the use of their children under the age of six years. One of such rooms would be used as a play-room for the children and the other as bedroom for the children. For this purpose the contractor shall supply adequate number of toys and games in the play-room and sufficient number of cots and bedding in the sleeping room. The standard of construction and maintenance of the creches may be such as may be specified in this behalf by the Chief Labour Commissioner</w:t>
      </w:r>
      <w:r>
        <w:rPr>
          <w:spacing w:val="-6"/>
          <w:sz w:val="20"/>
        </w:rPr>
        <w:t> </w:t>
      </w:r>
      <w:r>
        <w:rPr>
          <w:sz w:val="20"/>
        </w:rPr>
        <w:t>(Central).</w:t>
      </w:r>
    </w:p>
    <w:p>
      <w:pPr>
        <w:pStyle w:val="ListParagraph"/>
        <w:numPr>
          <w:ilvl w:val="0"/>
          <w:numId w:val="1"/>
        </w:numPr>
        <w:tabs>
          <w:tab w:pos="861" w:val="left" w:leader="none"/>
        </w:tabs>
        <w:spacing w:line="240" w:lineRule="auto" w:before="0" w:after="0"/>
        <w:ind w:left="860" w:right="117" w:hanging="360"/>
        <w:jc w:val="both"/>
        <w:rPr>
          <w:sz w:val="20"/>
        </w:rPr>
      </w:pPr>
      <w:r>
        <w:rPr>
          <w:sz w:val="20"/>
        </w:rPr>
        <w:t>The license shall notify any change in the number of workmen or the conditions of work to the Licensing</w:t>
      </w:r>
      <w:r>
        <w:rPr>
          <w:spacing w:val="-1"/>
          <w:sz w:val="20"/>
        </w:rPr>
        <w:t> </w:t>
      </w:r>
      <w:r>
        <w:rPr>
          <w:sz w:val="20"/>
        </w:rPr>
        <w:t>Officer.</w:t>
      </w:r>
    </w:p>
    <w:p>
      <w:pPr>
        <w:pStyle w:val="ListParagraph"/>
        <w:numPr>
          <w:ilvl w:val="0"/>
          <w:numId w:val="1"/>
        </w:numPr>
        <w:tabs>
          <w:tab w:pos="861" w:val="left" w:leader="none"/>
        </w:tabs>
        <w:spacing w:line="240" w:lineRule="auto" w:before="0" w:after="0"/>
        <w:ind w:left="860" w:right="117" w:hanging="360"/>
        <w:jc w:val="both"/>
        <w:rPr>
          <w:sz w:val="20"/>
        </w:rPr>
      </w:pPr>
      <w:r>
        <w:rPr>
          <w:sz w:val="20"/>
        </w:rPr>
        <w:t>A copy of the licence shall be displayed prominently at the premises where the contract work is being carried</w:t>
      </w:r>
      <w:r>
        <w:rPr>
          <w:spacing w:val="-4"/>
          <w:sz w:val="20"/>
        </w:rPr>
        <w:t> </w:t>
      </w:r>
      <w:r>
        <w:rPr>
          <w:sz w:val="20"/>
        </w:rPr>
        <w:t>on.]</w:t>
      </w:r>
    </w:p>
    <w:p>
      <w:pPr>
        <w:pStyle w:val="ListParagraph"/>
        <w:numPr>
          <w:ilvl w:val="0"/>
          <w:numId w:val="1"/>
        </w:numPr>
        <w:tabs>
          <w:tab w:pos="861" w:val="left" w:leader="none"/>
        </w:tabs>
        <w:spacing w:line="240" w:lineRule="auto" w:before="0" w:after="0"/>
        <w:ind w:left="860" w:right="116" w:hanging="360"/>
        <w:jc w:val="both"/>
        <w:rPr>
          <w:sz w:val="20"/>
        </w:rPr>
      </w:pPr>
      <w:r>
        <w:rPr>
          <w:sz w:val="20"/>
        </w:rPr>
        <w:t>The licensee shall, within fifteen days of the commencement and completing of each contract work submit a return to the Inspector appointed under section 28 of the Act intimating the actual date of the commencement or, as the case may be, completion of such contract work in Form VI- A.]</w:t>
      </w:r>
    </w:p>
    <w:sectPr>
      <w:type w:val="continuous"/>
      <w:pgSz w:w="12240" w:h="15840"/>
      <w:pgMar w:top="1460" w:bottom="280" w:left="130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6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1736" w:hanging="361"/>
      </w:pPr>
      <w:rPr>
        <w:rFonts w:hint="default"/>
        <w:lang w:val="en-US" w:eastAsia="en-US" w:bidi="ar-SA"/>
      </w:rPr>
    </w:lvl>
    <w:lvl w:ilvl="2">
      <w:start w:val="0"/>
      <w:numFmt w:val="bullet"/>
      <w:lvlText w:val="•"/>
      <w:lvlJc w:val="left"/>
      <w:pPr>
        <w:ind w:left="2612" w:hanging="361"/>
      </w:pPr>
      <w:rPr>
        <w:rFonts w:hint="default"/>
        <w:lang w:val="en-US" w:eastAsia="en-US" w:bidi="ar-SA"/>
      </w:rPr>
    </w:lvl>
    <w:lvl w:ilvl="3">
      <w:start w:val="0"/>
      <w:numFmt w:val="bullet"/>
      <w:lvlText w:val="•"/>
      <w:lvlJc w:val="left"/>
      <w:pPr>
        <w:ind w:left="3488" w:hanging="361"/>
      </w:pPr>
      <w:rPr>
        <w:rFonts w:hint="default"/>
        <w:lang w:val="en-US" w:eastAsia="en-US" w:bidi="ar-SA"/>
      </w:rPr>
    </w:lvl>
    <w:lvl w:ilvl="4">
      <w:start w:val="0"/>
      <w:numFmt w:val="bullet"/>
      <w:lvlText w:val="•"/>
      <w:lvlJc w:val="left"/>
      <w:pPr>
        <w:ind w:left="4364" w:hanging="361"/>
      </w:pPr>
      <w:rPr>
        <w:rFonts w:hint="default"/>
        <w:lang w:val="en-US" w:eastAsia="en-US" w:bidi="ar-SA"/>
      </w:rPr>
    </w:lvl>
    <w:lvl w:ilvl="5">
      <w:start w:val="0"/>
      <w:numFmt w:val="bullet"/>
      <w:lvlText w:val="•"/>
      <w:lvlJc w:val="left"/>
      <w:pPr>
        <w:ind w:left="5240" w:hanging="361"/>
      </w:pPr>
      <w:rPr>
        <w:rFonts w:hint="default"/>
        <w:lang w:val="en-US" w:eastAsia="en-US" w:bidi="ar-SA"/>
      </w:rPr>
    </w:lvl>
    <w:lvl w:ilvl="6">
      <w:start w:val="0"/>
      <w:numFmt w:val="bullet"/>
      <w:lvlText w:val="•"/>
      <w:lvlJc w:val="left"/>
      <w:pPr>
        <w:ind w:left="6116" w:hanging="361"/>
      </w:pPr>
      <w:rPr>
        <w:rFonts w:hint="default"/>
        <w:lang w:val="en-US" w:eastAsia="en-US" w:bidi="ar-SA"/>
      </w:rPr>
    </w:lvl>
    <w:lvl w:ilvl="7">
      <w:start w:val="0"/>
      <w:numFmt w:val="bullet"/>
      <w:lvlText w:val="•"/>
      <w:lvlJc w:val="left"/>
      <w:pPr>
        <w:ind w:left="6992" w:hanging="361"/>
      </w:pPr>
      <w:rPr>
        <w:rFonts w:hint="default"/>
        <w:lang w:val="en-US" w:eastAsia="en-US" w:bidi="ar-SA"/>
      </w:rPr>
    </w:lvl>
    <w:lvl w:ilvl="8">
      <w:start w:val="0"/>
      <w:numFmt w:val="bullet"/>
      <w:lvlText w:val="•"/>
      <w:lvlJc w:val="left"/>
      <w:pPr>
        <w:ind w:left="7868"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859" w:hanging="360"/>
      <w:jc w:val="both"/>
    </w:pPr>
    <w:rPr>
      <w:rFonts w:ascii="Arial" w:hAnsi="Arial" w:eastAsia="Arial" w:cs="Arial"/>
      <w:sz w:val="20"/>
      <w:szCs w:val="20"/>
      <w:lang w:val="en-US" w:eastAsia="en-US" w:bidi="ar-SA"/>
    </w:rPr>
  </w:style>
  <w:style w:styleId="Title" w:type="paragraph">
    <w:name w:val="Title"/>
    <w:basedOn w:val="Normal"/>
    <w:uiPriority w:val="1"/>
    <w:qFormat/>
    <w:pPr>
      <w:spacing w:before="78"/>
      <w:ind w:left="140"/>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59" w:right="117" w:hanging="360"/>
      <w:jc w:val="both"/>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- 216</dc:title>
  <dcterms:created xsi:type="dcterms:W3CDTF">2020-09-15T12:55:02Z</dcterms:created>
  <dcterms:modified xsi:type="dcterms:W3CDTF">2020-09-15T12:55:02Z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2009-07-31T00:00:00Z</vt:filetime>
  </property>
  <property fmtid="{D5CDD505-2E9C-101B-9397-08002B2CF9AE}" pid="3" name="Creator">
    <vt:lpwstr>PScript5.dll Version 5.2</vt:lpwstr>
  </property>
  <property fmtid="{D5CDD505-2E9C-101B-9397-08002B2CF9AE}" pid="4" name="LastSaved">
    <vt:filetime>2020-09-15T00:00:00Z</vt:filetime>
  </property>
</Properties>
</file>