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A</w:t>
      </w:r>
    </w:p>
    <w:p>
      <w:pPr>
        <w:spacing w:line="240" w:lineRule="auto" w:before="4"/>
        <w:rPr>
          <w:b/>
          <w:sz w:val="17"/>
        </w:rPr>
      </w:pPr>
    </w:p>
    <w:p>
      <w:pPr>
        <w:spacing w:before="0"/>
        <w:ind w:left="180" w:right="0" w:firstLine="0"/>
        <w:jc w:val="left"/>
        <w:rPr>
          <w:sz w:val="20"/>
        </w:rPr>
      </w:pPr>
      <w:r>
        <w:rPr>
          <w:sz w:val="20"/>
        </w:rPr>
        <w:t>{See rule 4(1)}</w:t>
      </w:r>
    </w:p>
    <w:p>
      <w:pPr>
        <w:spacing w:line="240" w:lineRule="auto" w:before="5"/>
        <w:rPr>
          <w:sz w:val="17"/>
        </w:rPr>
      </w:pPr>
    </w:p>
    <w:p>
      <w:pPr>
        <w:tabs>
          <w:tab w:pos="5104" w:val="left" w:leader="none"/>
          <w:tab w:pos="5806" w:val="left" w:leader="none"/>
        </w:tabs>
        <w:spacing w:line="448" w:lineRule="auto" w:before="0"/>
        <w:ind w:left="180" w:right="3451" w:firstLine="0"/>
        <w:jc w:val="left"/>
        <w:rPr>
          <w:sz w:val="20"/>
        </w:rPr>
      </w:pPr>
      <w:r>
        <w:rPr>
          <w:b/>
          <w:sz w:val="20"/>
        </w:rPr>
        <w:t>Computation of the Allocable surplus under section 2(4) </w:t>
      </w:r>
      <w:r>
        <w:rPr>
          <w:sz w:val="20"/>
        </w:rPr>
        <w:t>Name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Establishment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  <w:tab/>
      </w:r>
      <w:r>
        <w:rPr>
          <w:sz w:val="20"/>
        </w:rPr>
        <w:t> Accounting year ending on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tbl>
      <w:tblPr>
        <w:tblW w:w="0" w:type="auto"/>
        <w:jc w:val="left"/>
        <w:tblInd w:w="142" w:type="dxa"/>
        <w:tblBorders>
          <w:top w:val="single" w:sz="12" w:space="0" w:color="ACA89A"/>
          <w:left w:val="single" w:sz="12" w:space="0" w:color="ACA89A"/>
          <w:bottom w:val="single" w:sz="12" w:space="0" w:color="ACA89A"/>
          <w:right w:val="single" w:sz="12" w:space="0" w:color="ACA89A"/>
          <w:insideH w:val="single" w:sz="12" w:space="0" w:color="ACA89A"/>
          <w:insideV w:val="single" w:sz="1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1"/>
        <w:gridCol w:w="1810"/>
        <w:gridCol w:w="1923"/>
        <w:gridCol w:w="1177"/>
        <w:gridCol w:w="2753"/>
      </w:tblGrid>
      <w:tr>
        <w:trPr>
          <w:trHeight w:val="619" w:hRule="atLeast"/>
        </w:trPr>
        <w:tc>
          <w:tcPr>
            <w:tcW w:w="1151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33" w:type="dxa"/>
            <w:gridSpan w:val="2"/>
          </w:tcPr>
          <w:p>
            <w:pPr>
              <w:pStyle w:val="TableParagraph"/>
              <w:spacing w:before="141"/>
              <w:ind w:left="48"/>
              <w:rPr>
                <w:sz w:val="20"/>
              </w:rPr>
            </w:pPr>
            <w:r>
              <w:rPr>
                <w:sz w:val="20"/>
              </w:rPr>
              <w:t>Sums deducted from gross profit</w:t>
            </w:r>
          </w:p>
        </w:tc>
        <w:tc>
          <w:tcPr>
            <w:tcW w:w="11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10" w:hRule="atLeast"/>
        </w:trPr>
        <w:tc>
          <w:tcPr>
            <w:tcW w:w="1151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 w:right="38"/>
              <w:jc w:val="both"/>
              <w:rPr>
                <w:sz w:val="20"/>
              </w:rPr>
            </w:pPr>
            <w:r>
              <w:rPr>
                <w:sz w:val="20"/>
              </w:rPr>
              <w:t>Gross profit For the Accounting Year (Rs.)</w:t>
            </w:r>
          </w:p>
        </w:tc>
        <w:tc>
          <w:tcPr>
            <w:tcW w:w="1810" w:type="dxa"/>
          </w:tcPr>
          <w:p>
            <w:pPr>
              <w:pStyle w:val="TableParagraph"/>
              <w:spacing w:before="142"/>
              <w:ind w:left="48" w:right="22"/>
              <w:rPr>
                <w:sz w:val="20"/>
              </w:rPr>
            </w:pPr>
            <w:r>
              <w:rPr>
                <w:sz w:val="20"/>
              </w:rPr>
              <w:t>Depreciation under Section 6(a)</w:t>
            </w:r>
          </w:p>
        </w:tc>
        <w:tc>
          <w:tcPr>
            <w:tcW w:w="1923" w:type="dxa"/>
          </w:tcPr>
          <w:p>
            <w:pPr>
              <w:pStyle w:val="TableParagraph"/>
              <w:spacing w:before="142"/>
              <w:ind w:left="47" w:right="38"/>
              <w:jc w:val="both"/>
              <w:rPr>
                <w:sz w:val="20"/>
              </w:rPr>
            </w:pPr>
            <w:r>
              <w:rPr>
                <w:sz w:val="20"/>
              </w:rPr>
              <w:t>Development rebate or Development allowance</w:t>
            </w:r>
          </w:p>
          <w:p>
            <w:pPr>
              <w:pStyle w:val="TableParagraph"/>
              <w:ind w:left="47"/>
              <w:jc w:val="both"/>
              <w:rPr>
                <w:sz w:val="20"/>
              </w:rPr>
            </w:pPr>
            <w:r>
              <w:rPr>
                <w:sz w:val="20"/>
              </w:rPr>
              <w:t>Section 6(b)</w:t>
            </w:r>
          </w:p>
        </w:tc>
        <w:tc>
          <w:tcPr>
            <w:tcW w:w="1177" w:type="dxa"/>
          </w:tcPr>
          <w:p>
            <w:pPr>
              <w:pStyle w:val="TableParagraph"/>
              <w:spacing w:before="142"/>
              <w:ind w:left="47" w:right="24"/>
              <w:rPr>
                <w:sz w:val="20"/>
              </w:rPr>
            </w:pPr>
            <w:r>
              <w:rPr>
                <w:sz w:val="20"/>
              </w:rPr>
              <w:t>Direct taxes section 6(c)</w:t>
            </w:r>
          </w:p>
        </w:tc>
        <w:tc>
          <w:tcPr>
            <w:tcW w:w="2753" w:type="dxa"/>
          </w:tcPr>
          <w:p>
            <w:pPr>
              <w:pStyle w:val="TableParagraph"/>
              <w:spacing w:before="142"/>
              <w:ind w:left="46" w:right="38"/>
              <w:jc w:val="both"/>
              <w:rPr>
                <w:sz w:val="20"/>
              </w:rPr>
            </w:pPr>
            <w:r>
              <w:rPr>
                <w:sz w:val="20"/>
              </w:rPr>
              <w:t>Further sums as are specified under the Third Schedule to the Act.</w:t>
            </w:r>
          </w:p>
        </w:tc>
      </w:tr>
      <w:tr>
        <w:trPr>
          <w:trHeight w:val="619" w:hRule="atLeast"/>
        </w:trPr>
        <w:tc>
          <w:tcPr>
            <w:tcW w:w="1151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1810" w:type="dxa"/>
          </w:tcPr>
          <w:p>
            <w:pPr>
              <w:pStyle w:val="TableParagraph"/>
              <w:spacing w:before="142"/>
              <w:ind w:left="48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1923" w:type="dxa"/>
          </w:tcPr>
          <w:p>
            <w:pPr>
              <w:pStyle w:val="TableParagraph"/>
              <w:spacing w:before="142"/>
              <w:ind w:left="47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1177" w:type="dxa"/>
          </w:tcPr>
          <w:p>
            <w:pPr>
              <w:pStyle w:val="TableParagraph"/>
              <w:spacing w:before="142"/>
              <w:ind w:left="47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2753" w:type="dxa"/>
          </w:tcPr>
          <w:p>
            <w:pPr>
              <w:pStyle w:val="TableParagraph"/>
              <w:spacing w:before="142"/>
              <w:ind w:left="46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</w:tr>
      <w:tr>
        <w:trPr>
          <w:trHeight w:val="620" w:hRule="atLeast"/>
        </w:trPr>
        <w:tc>
          <w:tcPr>
            <w:tcW w:w="1151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12" w:hRule="atLeast"/>
        </w:trPr>
        <w:tc>
          <w:tcPr>
            <w:tcW w:w="1151" w:type="dxa"/>
            <w:tcBorders>
              <w:left w:val="single" w:sz="12" w:space="0" w:color="ECE9D8"/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0" w:type="dxa"/>
            <w:tcBorders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3" w:type="dxa"/>
            <w:tcBorders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53" w:type="dxa"/>
            <w:tcBorders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line="240" w:lineRule="auto" w:before="7" w:after="1"/>
        <w:rPr>
          <w:sz w:val="8"/>
        </w:rPr>
      </w:pPr>
    </w:p>
    <w:tbl>
      <w:tblPr>
        <w:tblW w:w="0" w:type="auto"/>
        <w:jc w:val="left"/>
        <w:tblInd w:w="142" w:type="dxa"/>
        <w:tblBorders>
          <w:top w:val="single" w:sz="12" w:space="0" w:color="ACA89A"/>
          <w:left w:val="single" w:sz="12" w:space="0" w:color="ACA89A"/>
          <w:bottom w:val="single" w:sz="12" w:space="0" w:color="ACA89A"/>
          <w:right w:val="single" w:sz="12" w:space="0" w:color="ACA89A"/>
          <w:insideH w:val="single" w:sz="12" w:space="0" w:color="ACA89A"/>
          <w:insideV w:val="single" w:sz="1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5"/>
        <w:gridCol w:w="3278"/>
        <w:gridCol w:w="2762"/>
      </w:tblGrid>
      <w:tr>
        <w:trPr>
          <w:trHeight w:val="850" w:hRule="atLeast"/>
        </w:trPr>
        <w:tc>
          <w:tcPr>
            <w:tcW w:w="2485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 w:right="22"/>
              <w:rPr>
                <w:sz w:val="20"/>
              </w:rPr>
            </w:pPr>
            <w:r>
              <w:rPr>
                <w:sz w:val="20"/>
              </w:rPr>
              <w:t>Total of sums deducted under Column 2,3,4, and 5</w:t>
            </w:r>
          </w:p>
        </w:tc>
        <w:tc>
          <w:tcPr>
            <w:tcW w:w="3278" w:type="dxa"/>
          </w:tcPr>
          <w:p>
            <w:pPr>
              <w:pStyle w:val="TableParagraph"/>
              <w:spacing w:before="142"/>
              <w:ind w:left="48" w:right="22"/>
              <w:rPr>
                <w:sz w:val="20"/>
              </w:rPr>
            </w:pPr>
            <w:r>
              <w:rPr>
                <w:sz w:val="20"/>
              </w:rPr>
              <w:t>Available surplus for the accounting Year (Column 1 minus Column 6)</w:t>
            </w:r>
          </w:p>
        </w:tc>
        <w:tc>
          <w:tcPr>
            <w:tcW w:w="2762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sz w:val="20"/>
              </w:rPr>
              <w:t>Amount of allocable surplus</w:t>
            </w:r>
          </w:p>
          <w:p>
            <w:pPr>
              <w:pStyle w:val="TableParagraph"/>
              <w:spacing w:before="1"/>
              <w:ind w:left="49"/>
              <w:rPr>
                <w:sz w:val="20"/>
              </w:rPr>
            </w:pPr>
            <w:r>
              <w:rPr>
                <w:sz w:val="20"/>
                <w:vertAlign w:val="superscript"/>
              </w:rPr>
              <w:t>1</w:t>
            </w:r>
            <w:r>
              <w:rPr>
                <w:sz w:val="20"/>
                <w:vertAlign w:val="baseline"/>
              </w:rPr>
              <w:t>[67% (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  <w:vertAlign w:val="baseline"/>
              </w:rPr>
              <w:t>[60% of column 7]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  <w:vertAlign w:val="baseline"/>
              </w:rPr>
              <w:t>)]</w:t>
            </w:r>
            <w:r>
              <w:rPr>
                <w:sz w:val="20"/>
                <w:vertAlign w:val="superscript"/>
              </w:rPr>
              <w:t>1</w:t>
            </w:r>
          </w:p>
        </w:tc>
      </w:tr>
      <w:tr>
        <w:trPr>
          <w:trHeight w:val="620" w:hRule="atLeast"/>
        </w:trPr>
        <w:tc>
          <w:tcPr>
            <w:tcW w:w="2485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  <w:tc>
          <w:tcPr>
            <w:tcW w:w="3278" w:type="dxa"/>
          </w:tcPr>
          <w:p>
            <w:pPr>
              <w:pStyle w:val="TableParagraph"/>
              <w:spacing w:before="142"/>
              <w:ind w:left="48"/>
              <w:rPr>
                <w:sz w:val="20"/>
              </w:rPr>
            </w:pPr>
            <w:r>
              <w:rPr>
                <w:w w:val="100"/>
                <w:sz w:val="20"/>
              </w:rPr>
              <w:t>7</w:t>
            </w:r>
          </w:p>
        </w:tc>
        <w:tc>
          <w:tcPr>
            <w:tcW w:w="2762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</w:tr>
      <w:tr>
        <w:trPr>
          <w:trHeight w:val="620" w:hRule="atLeast"/>
        </w:trPr>
        <w:tc>
          <w:tcPr>
            <w:tcW w:w="2485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2485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403" w:val="left" w:leader="none"/>
        </w:tabs>
        <w:spacing w:line="240" w:lineRule="auto" w:before="98" w:after="0"/>
        <w:ind w:left="402" w:right="0" w:hanging="223"/>
        <w:jc w:val="left"/>
        <w:rPr>
          <w:i/>
          <w:sz w:val="20"/>
        </w:rPr>
      </w:pPr>
      <w:r>
        <w:rPr>
          <w:i/>
          <w:sz w:val="20"/>
        </w:rPr>
        <w:t>Section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2(4)(a)</w:t>
      </w:r>
    </w:p>
    <w:p>
      <w:pPr>
        <w:spacing w:line="240" w:lineRule="auto" w:before="4"/>
        <w:rPr>
          <w:i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403" w:val="left" w:leader="none"/>
        </w:tabs>
        <w:spacing w:line="240" w:lineRule="auto" w:before="0" w:after="0"/>
        <w:ind w:left="402" w:right="0" w:hanging="223"/>
        <w:jc w:val="left"/>
        <w:rPr>
          <w:i/>
          <w:sz w:val="20"/>
        </w:rPr>
      </w:pPr>
      <w:r>
        <w:rPr>
          <w:i/>
          <w:sz w:val="20"/>
        </w:rPr>
        <w:t>Section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2(4)(b)</w:t>
      </w:r>
    </w:p>
    <w:sectPr>
      <w:type w:val="continuous"/>
      <w:pgSz w:w="12240" w:h="15840"/>
      <w:pgMar w:top="1460" w:bottom="280" w:left="126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02" w:hanging="223"/>
        <w:jc w:val="left"/>
      </w:pPr>
      <w:rPr>
        <w:rFonts w:hint="default" w:ascii="Arial" w:hAnsi="Arial" w:eastAsia="Arial" w:cs="Arial"/>
        <w:i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2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8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4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6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2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Arial" w:hAnsi="Arial" w:eastAsia="Arial" w:cs="Arial"/>
      <w:i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8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02" w:hanging="22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- 22</dc:title>
  <dcterms:created xsi:type="dcterms:W3CDTF">2020-09-15T12:09:35Z</dcterms:created>
  <dcterms:modified xsi:type="dcterms:W3CDTF">2020-09-15T12:09:35Z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