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8"/>
        <w:ind w:left="180"/>
      </w:pPr>
      <w:r>
        <w:rPr/>
        <w:t>Form B</w:t>
      </w:r>
    </w:p>
    <w:p>
      <w:pPr>
        <w:spacing w:line="240" w:lineRule="auto" w:before="4"/>
        <w:rPr>
          <w:b/>
          <w:sz w:val="17"/>
        </w:rPr>
      </w:pPr>
    </w:p>
    <w:p>
      <w:pPr>
        <w:spacing w:before="0"/>
        <w:ind w:left="180" w:right="0" w:firstLine="0"/>
        <w:jc w:val="left"/>
        <w:rPr>
          <w:sz w:val="20"/>
        </w:rPr>
      </w:pPr>
      <w:r>
        <w:rPr>
          <w:sz w:val="20"/>
        </w:rPr>
        <w:t>{See rule 4(b)}</w:t>
      </w:r>
    </w:p>
    <w:p>
      <w:pPr>
        <w:spacing w:line="240" w:lineRule="auto" w:before="5"/>
        <w:rPr>
          <w:sz w:val="17"/>
        </w:rPr>
      </w:pPr>
    </w:p>
    <w:p>
      <w:pPr>
        <w:pStyle w:val="BodyText"/>
        <w:ind w:left="180"/>
      </w:pPr>
      <w:r>
        <w:rPr/>
        <w:t>Set-on and Set-off of Allocable surplus under section 15</w:t>
      </w:r>
    </w:p>
    <w:p>
      <w:pPr>
        <w:spacing w:line="240" w:lineRule="auto" w:before="6" w:after="0"/>
        <w:rPr>
          <w:b/>
          <w:sz w:val="17"/>
        </w:rPr>
      </w:pPr>
    </w:p>
    <w:tbl>
      <w:tblPr>
        <w:tblW w:w="0" w:type="auto"/>
        <w:jc w:val="left"/>
        <w:tblInd w:w="142" w:type="dxa"/>
        <w:tblBorders>
          <w:top w:val="single" w:sz="12" w:space="0" w:color="ACA89A"/>
          <w:left w:val="single" w:sz="12" w:space="0" w:color="ACA89A"/>
          <w:bottom w:val="single" w:sz="12" w:space="0" w:color="ACA89A"/>
          <w:right w:val="single" w:sz="12" w:space="0" w:color="ACA89A"/>
          <w:insideH w:val="single" w:sz="12" w:space="0" w:color="ACA89A"/>
          <w:insideV w:val="single" w:sz="1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0"/>
        <w:gridCol w:w="1654"/>
        <w:gridCol w:w="1565"/>
        <w:gridCol w:w="1632"/>
        <w:gridCol w:w="2016"/>
      </w:tblGrid>
      <w:tr>
        <w:trPr>
          <w:trHeight w:val="1080" w:hRule="atLeast"/>
        </w:trPr>
        <w:tc>
          <w:tcPr>
            <w:tcW w:w="1640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5"/>
              <w:rPr>
                <w:sz w:val="20"/>
              </w:rPr>
            </w:pPr>
            <w:r>
              <w:rPr>
                <w:sz w:val="20"/>
              </w:rPr>
              <w:t>Accounting Year</w:t>
            </w:r>
          </w:p>
        </w:tc>
        <w:tc>
          <w:tcPr>
            <w:tcW w:w="1654" w:type="dxa"/>
          </w:tcPr>
          <w:p>
            <w:pPr>
              <w:pStyle w:val="TableParagraph"/>
              <w:tabs>
                <w:tab w:pos="1039" w:val="left" w:leader="none"/>
              </w:tabs>
              <w:spacing w:before="142"/>
              <w:ind w:left="49" w:right="36" w:hanging="1"/>
              <w:rPr>
                <w:sz w:val="20"/>
              </w:rPr>
            </w:pPr>
            <w:r>
              <w:rPr>
                <w:sz w:val="20"/>
              </w:rPr>
              <w:t>Amount </w:t>
            </w:r>
            <w:r>
              <w:rPr>
                <w:spacing w:val="-3"/>
                <w:sz w:val="20"/>
              </w:rPr>
              <w:t>allocable </w:t>
            </w:r>
            <w:r>
              <w:rPr>
                <w:sz w:val="20"/>
              </w:rPr>
              <w:t>as</w:t>
              <w:tab/>
            </w:r>
            <w:r>
              <w:rPr>
                <w:spacing w:val="-4"/>
                <w:sz w:val="20"/>
              </w:rPr>
              <w:t>bonus</w:t>
            </w:r>
          </w:p>
          <w:p>
            <w:pPr>
              <w:pStyle w:val="TableParagraph"/>
              <w:spacing w:line="230" w:lineRule="exact"/>
              <w:ind w:left="49"/>
              <w:rPr>
                <w:sz w:val="20"/>
              </w:rPr>
            </w:pPr>
            <w:r>
              <w:rPr>
                <w:sz w:val="20"/>
              </w:rPr>
              <w:t>(in Rs.)</w:t>
            </w:r>
          </w:p>
        </w:tc>
        <w:tc>
          <w:tcPr>
            <w:tcW w:w="1565" w:type="dxa"/>
          </w:tcPr>
          <w:p>
            <w:pPr>
              <w:pStyle w:val="TableParagraph"/>
              <w:tabs>
                <w:tab w:pos="951" w:val="left" w:leader="none"/>
              </w:tabs>
              <w:spacing w:before="142"/>
              <w:ind w:left="49" w:right="35"/>
              <w:jc w:val="both"/>
              <w:rPr>
                <w:sz w:val="20"/>
              </w:rPr>
            </w:pPr>
            <w:r>
              <w:rPr>
                <w:sz w:val="20"/>
              </w:rPr>
              <w:t>Amount payable as</w:t>
              <w:tab/>
            </w:r>
            <w:r>
              <w:rPr>
                <w:spacing w:val="-4"/>
                <w:sz w:val="20"/>
              </w:rPr>
              <w:t>bonus </w:t>
            </w:r>
            <w:r>
              <w:rPr>
                <w:sz w:val="20"/>
              </w:rPr>
              <w:t>(in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Rs.)</w:t>
            </w:r>
          </w:p>
        </w:tc>
        <w:tc>
          <w:tcPr>
            <w:tcW w:w="1632" w:type="dxa"/>
          </w:tcPr>
          <w:p>
            <w:pPr>
              <w:pStyle w:val="TableParagraph"/>
              <w:tabs>
                <w:tab w:pos="1008" w:val="left" w:leader="none"/>
              </w:tabs>
              <w:spacing w:before="142"/>
              <w:ind w:left="50" w:right="34"/>
              <w:rPr>
                <w:sz w:val="20"/>
              </w:rPr>
            </w:pPr>
            <w:r>
              <w:rPr>
                <w:sz w:val="20"/>
              </w:rPr>
              <w:t>Amount of set on or</w:t>
              <w:tab/>
            </w:r>
            <w:r>
              <w:rPr>
                <w:spacing w:val="-4"/>
                <w:sz w:val="20"/>
              </w:rPr>
              <w:t>set-off</w:t>
            </w:r>
          </w:p>
          <w:p>
            <w:pPr>
              <w:pStyle w:val="TableParagraph"/>
              <w:spacing w:line="230" w:lineRule="exact"/>
              <w:ind w:left="50"/>
              <w:rPr>
                <w:sz w:val="20"/>
              </w:rPr>
            </w:pPr>
            <w:r>
              <w:rPr>
                <w:sz w:val="20"/>
              </w:rPr>
              <w:t>(in Rs.)</w:t>
            </w:r>
          </w:p>
        </w:tc>
        <w:tc>
          <w:tcPr>
            <w:tcW w:w="2016" w:type="dxa"/>
          </w:tcPr>
          <w:p>
            <w:pPr>
              <w:pStyle w:val="TableParagraph"/>
              <w:spacing w:before="142"/>
              <w:ind w:left="52" w:right="13"/>
              <w:rPr>
                <w:sz w:val="20"/>
              </w:rPr>
            </w:pPr>
            <w:r>
              <w:rPr>
                <w:sz w:val="20"/>
              </w:rPr>
              <w:t>Total set-on or set-off carried forward</w:t>
            </w:r>
          </w:p>
        </w:tc>
      </w:tr>
      <w:tr>
        <w:trPr>
          <w:trHeight w:val="619" w:hRule="atLeast"/>
        </w:trPr>
        <w:tc>
          <w:tcPr>
            <w:tcW w:w="1640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w w:val="100"/>
                <w:sz w:val="20"/>
              </w:rPr>
              <w:t>1</w:t>
            </w:r>
          </w:p>
        </w:tc>
        <w:tc>
          <w:tcPr>
            <w:tcW w:w="1654" w:type="dxa"/>
          </w:tcPr>
          <w:p>
            <w:pPr>
              <w:pStyle w:val="TableParagraph"/>
              <w:spacing w:before="142"/>
              <w:ind w:left="49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1565" w:type="dxa"/>
          </w:tcPr>
          <w:p>
            <w:pPr>
              <w:pStyle w:val="TableParagraph"/>
              <w:spacing w:before="142"/>
              <w:ind w:left="49"/>
              <w:rPr>
                <w:sz w:val="20"/>
              </w:rPr>
            </w:pPr>
            <w:r>
              <w:rPr>
                <w:w w:val="100"/>
                <w:sz w:val="20"/>
              </w:rPr>
              <w:t>3</w:t>
            </w:r>
          </w:p>
        </w:tc>
        <w:tc>
          <w:tcPr>
            <w:tcW w:w="1632" w:type="dxa"/>
          </w:tcPr>
          <w:p>
            <w:pPr>
              <w:pStyle w:val="TableParagraph"/>
              <w:spacing w:before="142"/>
              <w:ind w:left="50"/>
              <w:rPr>
                <w:sz w:val="20"/>
              </w:rPr>
            </w:pPr>
            <w:r>
              <w:rPr>
                <w:w w:val="100"/>
                <w:sz w:val="20"/>
              </w:rPr>
              <w:t>4</w:t>
            </w:r>
          </w:p>
        </w:tc>
        <w:tc>
          <w:tcPr>
            <w:tcW w:w="2016" w:type="dxa"/>
          </w:tcPr>
          <w:p>
            <w:pPr>
              <w:pStyle w:val="TableParagraph"/>
              <w:spacing w:before="142"/>
              <w:ind w:left="52"/>
              <w:rPr>
                <w:sz w:val="20"/>
              </w:rPr>
            </w:pPr>
            <w:r>
              <w:rPr>
                <w:w w:val="100"/>
                <w:sz w:val="20"/>
              </w:rPr>
              <w:t>5</w:t>
            </w:r>
          </w:p>
        </w:tc>
      </w:tr>
      <w:tr>
        <w:trPr>
          <w:trHeight w:val="620" w:hRule="atLeast"/>
        </w:trPr>
        <w:tc>
          <w:tcPr>
            <w:tcW w:w="1640" w:type="dxa"/>
            <w:tcBorders>
              <w:left w:val="single" w:sz="1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19" w:hRule="atLeast"/>
        </w:trPr>
        <w:tc>
          <w:tcPr>
            <w:tcW w:w="1640" w:type="dxa"/>
            <w:tcBorders>
              <w:left w:val="single" w:sz="1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type w:val="continuous"/>
      <w:pgSz w:w="12240" w:h="15840"/>
      <w:pgMar w:top="1460" w:bottom="280" w:left="126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- 27</dc:title>
  <dcterms:created xsi:type="dcterms:W3CDTF">2020-09-15T12:09:38Z</dcterms:created>
  <dcterms:modified xsi:type="dcterms:W3CDTF">2020-09-15T12:09:38Z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