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M-B: Notice of Lock - out to be given by an Employer Carrying on a Public Utility Service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(Rule 72)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6926" w:val="left" w:leader="none"/>
        </w:tabs>
      </w:pPr>
      <w:r>
        <w:rPr/>
        <w:t>Name of the</w:t>
      </w:r>
      <w:r>
        <w:rPr>
          <w:spacing w:val="-3"/>
        </w:rPr>
        <w:t> </w:t>
      </w:r>
      <w:r>
        <w:rPr/>
        <w:t>employer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3267" w:val="left" w:leader="none"/>
          <w:tab w:pos="5313" w:val="left" w:leader="none"/>
          <w:tab w:pos="6368" w:val="left" w:leader="none"/>
          <w:tab w:pos="7917" w:val="left" w:leader="none"/>
        </w:tabs>
        <w:spacing w:line="448" w:lineRule="auto"/>
        <w:ind w:right="1680"/>
      </w:pPr>
      <w:r>
        <w:rPr/>
        <w:t>Address</w:t>
      </w:r>
      <w:r>
        <w:rPr>
          <w:u w:val="single"/>
        </w:rPr>
        <w:tab/>
        <w:tab/>
        <w:tab/>
        <w:tab/>
      </w:r>
      <w:r>
        <w:rPr/>
        <w:t> Dated</w:t>
      </w:r>
      <w:r>
        <w:rPr>
          <w:spacing w:val="-1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right="119"/>
      </w:pPr>
      <w:r>
        <w:rPr/>
        <w:t>In accordance with the provisions of sub-section (2) of section 22 of the Industrial Disputes Act, 1947, I / we hereby give notice to all concerned that it is my / our intention to effect a lock-out, in</w:t>
      </w:r>
    </w:p>
    <w:p>
      <w:pPr>
        <w:pStyle w:val="BodyText"/>
        <w:tabs>
          <w:tab w:pos="2124" w:val="left" w:leader="none"/>
          <w:tab w:pos="8790" w:val="left" w:leader="none"/>
        </w:tabs>
        <w:ind w:right="119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spacing w:val="-24"/>
        </w:rPr>
        <w:t> </w:t>
      </w:r>
      <w:r>
        <w:rPr/>
        <w:t>deptt.(s),</w:t>
      </w:r>
      <w:r>
        <w:rPr>
          <w:spacing w:val="28"/>
        </w:rPr>
        <w:t> </w:t>
      </w:r>
      <w:r>
        <w:rPr/>
        <w:t>section(s),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my</w:t>
      </w:r>
      <w:r>
        <w:rPr>
          <w:spacing w:val="28"/>
        </w:rPr>
        <w:t> </w:t>
      </w:r>
      <w:r>
        <w:rPr/>
        <w:t>/</w:t>
      </w:r>
      <w:r>
        <w:rPr>
          <w:spacing w:val="29"/>
        </w:rPr>
        <w:t> </w:t>
      </w:r>
      <w:r>
        <w:rPr/>
        <w:t>our</w:t>
      </w:r>
      <w:r>
        <w:rPr>
          <w:spacing w:val="29"/>
        </w:rPr>
        <w:t> </w:t>
      </w:r>
      <w:r>
        <w:rPr/>
        <w:t>establishment</w:t>
      </w:r>
      <w:r>
        <w:rPr>
          <w:spacing w:val="29"/>
        </w:rPr>
        <w:t> </w:t>
      </w:r>
      <w:r>
        <w:rPr/>
        <w:t>w.e.f.</w:t>
      </w:r>
      <w:r>
        <w:rPr>
          <w:u w:val="single"/>
        </w:rPr>
        <w:t> </w:t>
        <w:tab/>
      </w:r>
      <w:r>
        <w:rPr/>
        <w:t>for </w:t>
      </w:r>
      <w:r>
        <w:rPr>
          <w:spacing w:val="-6"/>
        </w:rPr>
        <w:t>the </w:t>
      </w:r>
      <w:r>
        <w:rPr/>
        <w:t>reasons explained in the</w:t>
      </w:r>
      <w:r>
        <w:rPr>
          <w:spacing w:val="-5"/>
        </w:rPr>
        <w:t> </w:t>
      </w:r>
      <w:r>
        <w:rPr/>
        <w:t>annexure.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3257" w:val="left" w:leader="none"/>
          <w:tab w:pos="3567" w:val="left" w:leader="none"/>
        </w:tabs>
        <w:spacing w:line="448" w:lineRule="auto" w:before="1"/>
        <w:ind w:right="6030"/>
      </w:pPr>
      <w:r>
        <w:rPr/>
        <w:t>Signature</w:t>
      </w:r>
      <w:r>
        <w:rPr>
          <w:u w:val="single"/>
        </w:rPr>
        <w:tab/>
        <w:tab/>
      </w:r>
      <w:r>
        <w:rPr/>
        <w:t> Designation</w:t>
      </w:r>
      <w:r>
        <w:rPr>
          <w:u w:val="single"/>
        </w:rPr>
        <w:tab/>
        <w:tab/>
      </w:r>
      <w:r>
        <w:rPr/>
        <w:t> ANNEXURE</w:t>
      </w:r>
    </w:p>
    <w:p>
      <w:pPr>
        <w:pStyle w:val="BodyText"/>
        <w:spacing w:line="448" w:lineRule="auto"/>
        <w:ind w:right="7559"/>
      </w:pPr>
      <w:r>
        <w:rPr/>
        <w:t>Statement of reasons Copy to: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30" w:lineRule="exact" w:before="0" w:after="0"/>
        <w:ind w:left="840" w:right="0" w:hanging="461"/>
        <w:jc w:val="left"/>
        <w:rPr>
          <w:sz w:val="20"/>
        </w:rPr>
      </w:pPr>
      <w:r>
        <w:rPr>
          <w:sz w:val="20"/>
        </w:rPr>
        <w:t>The Secretary of the Registered Union, if</w:t>
      </w:r>
      <w:r>
        <w:rPr>
          <w:spacing w:val="-10"/>
          <w:sz w:val="20"/>
        </w:rPr>
        <w:t> </w:t>
      </w:r>
      <w:r>
        <w:rPr>
          <w:sz w:val="20"/>
        </w:rPr>
        <w:t>any.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  <w:tab w:pos="7387" w:val="left" w:leader="none"/>
        </w:tabs>
        <w:spacing w:line="230" w:lineRule="exact" w:before="0" w:after="0"/>
        <w:ind w:left="840" w:right="0" w:hanging="506"/>
        <w:jc w:val="left"/>
        <w:rPr>
          <w:sz w:val="20"/>
        </w:rPr>
      </w:pPr>
      <w:r>
        <w:rPr>
          <w:sz w:val="20"/>
        </w:rPr>
        <w:t>Asstt. Labour Commissioner (Central) of local</w:t>
      </w:r>
      <w:r>
        <w:rPr>
          <w:spacing w:val="-36"/>
          <w:sz w:val="20"/>
        </w:rPr>
        <w:t> </w:t>
      </w:r>
      <w:r>
        <w:rPr>
          <w:sz w:val="20"/>
        </w:rPr>
        <w:t>area</w:t>
      </w:r>
      <w:r>
        <w:rPr>
          <w:spacing w:val="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2" w:val="left" w:leader="none"/>
          <w:tab w:pos="6420" w:val="left" w:leader="none"/>
        </w:tabs>
        <w:spacing w:line="240" w:lineRule="auto" w:before="0" w:after="0"/>
        <w:ind w:left="841" w:right="0" w:hanging="551"/>
        <w:jc w:val="left"/>
        <w:rPr>
          <w:sz w:val="20"/>
        </w:rPr>
      </w:pPr>
      <w:r>
        <w:rPr>
          <w:sz w:val="20"/>
        </w:rPr>
        <w:t>Regional Labour</w:t>
      </w:r>
      <w:r>
        <w:rPr>
          <w:spacing w:val="-5"/>
          <w:sz w:val="20"/>
        </w:rPr>
        <w:t> </w:t>
      </w:r>
      <w:r>
        <w:rPr>
          <w:sz w:val="20"/>
        </w:rPr>
        <w:t>Commissioner</w:t>
      </w:r>
      <w:r>
        <w:rPr>
          <w:spacing w:val="-3"/>
          <w:sz w:val="20"/>
        </w:rPr>
        <w:t> </w:t>
      </w:r>
      <w:r>
        <w:rPr>
          <w:sz w:val="20"/>
        </w:rPr>
        <w:t>(Central)</w:t>
      </w:r>
      <w:r>
        <w:rPr>
          <w:sz w:val="20"/>
          <w:u w:val="single"/>
        </w:rPr>
        <w:t> </w:t>
        <w:tab/>
      </w:r>
      <w:r>
        <w:rPr>
          <w:sz w:val="20"/>
        </w:rPr>
        <w:t>Zone.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561"/>
        <w:jc w:val="left"/>
        <w:rPr>
          <w:sz w:val="20"/>
        </w:rPr>
      </w:pPr>
      <w:r>
        <w:rPr>
          <w:sz w:val="20"/>
        </w:rPr>
        <w:t>Chief Labour Commissioner (Central), New</w:t>
      </w:r>
      <w:r>
        <w:rPr>
          <w:spacing w:val="-7"/>
          <w:sz w:val="20"/>
        </w:rPr>
        <w:t> </w:t>
      </w:r>
      <w:r>
        <w:rPr>
          <w:sz w:val="20"/>
        </w:rPr>
        <w:t>Delhi.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840" w:hanging="461"/>
        <w:jc w:val="righ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4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5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- 64</dc:title>
  <dcterms:created xsi:type="dcterms:W3CDTF">2020-09-15T12:14:50Z</dcterms:created>
  <dcterms:modified xsi:type="dcterms:W3CDTF">2020-09-15T12:14:50Z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