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1" Type="http://schemas.openxmlformats.org/officeDocument/2006/relationships/extended-properties" Target="docProps/app.xml"/><Relationship Id="rId2" Type="http://schemas.openxmlformats.org/package/2006/relationships/metadata/core-properties" Target="docProps/core.xml"/><Relationship Id="rId3"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body>
    <w:p>
      <w:pPr>
        <w:pStyle w:val="Heading1"/>
      </w:pPr>
      <w:r>
        <w:rPr/>
        <w:t>Form N: Report of Strike or Lock-Out in a Public Utility Service</w:t>
      </w:r>
    </w:p>
    <w:p>
      <w:pPr>
        <w:pStyle w:val="BodyText"/>
        <w:rPr>
          <w:b/>
          <w:sz w:val="17"/>
        </w:rPr>
      </w:pPr>
    </w:p>
    <w:p>
      <w:pPr>
        <w:pStyle w:val="BodyText"/>
        <w:spacing w:before="0"/>
        <w:ind w:left="180"/>
      </w:pPr>
      <w:r>
        <w:rPr/>
        <w:t>(Rule 73)</w:t>
      </w:r>
    </w:p>
    <w:p>
      <w:pPr>
        <w:pStyle w:val="BodyText"/>
        <w:rPr>
          <w:sz w:val="17"/>
        </w:rPr>
      </w:pPr>
    </w:p>
    <w:p>
      <w:pPr>
        <w:pStyle w:val="BodyText"/>
        <w:spacing w:before="0"/>
        <w:ind w:left="180" w:right="177"/>
      </w:pPr>
      <w:r>
        <w:rPr/>
        <w:t>Information to be supplied in this form immediately on the occurence of a strike or lock-out in a public utility service to the Asstt. Labour Commissioner (Central) for the local area concerned</w:t>
      </w:r>
    </w:p>
    <w:p>
      <w:pPr>
        <w:pStyle w:val="BodyText"/>
        <w:spacing w:before="7"/>
        <w:rPr>
          <w:sz w:val="17"/>
        </w:rPr>
      </w:pPr>
    </w:p>
    <w:tbl>
      <w:tblPr>
        <w:tblW w:w="0" w:type="auto"/>
        <w:jc w:val="left"/>
        <w:tblInd w:w="142" w:type="dxa"/>
        <w:tblBorders>
          <w:top w:val="single" w:sz="12" w:space="0" w:color="ACA89A"/>
          <w:left w:val="single" w:sz="12" w:space="0" w:color="ACA89A"/>
          <w:bottom w:val="single" w:sz="12" w:space="0" w:color="ACA89A"/>
          <w:right w:val="single" w:sz="12" w:space="0" w:color="ACA89A"/>
          <w:insideH w:val="single" w:sz="12" w:space="0" w:color="ACA89A"/>
          <w:insideV w:val="single" w:sz="12" w:space="0" w:color="ACA89A"/>
        </w:tblBorders>
        <w:tblLayout w:type="fixed"/>
        <w:tblCellMar>
          <w:top w:w="0" w:type="dxa"/>
          <w:left w:w="0" w:type="dxa"/>
          <w:bottom w:w="0" w:type="dxa"/>
          <w:right w:w="0" w:type="dxa"/>
        </w:tblCellMar>
        <w:tblLook w:val="01E0"/>
      </w:tblPr>
      <w:tblGrid>
        <w:gridCol w:w="1217"/>
        <w:gridCol w:w="786"/>
        <w:gridCol w:w="898"/>
        <w:gridCol w:w="788"/>
        <w:gridCol w:w="754"/>
        <w:gridCol w:w="633"/>
        <w:gridCol w:w="887"/>
        <w:gridCol w:w="754"/>
        <w:gridCol w:w="732"/>
        <w:gridCol w:w="1254"/>
        <w:gridCol w:w="773"/>
      </w:tblGrid>
      <w:tr>
        <w:trPr>
          <w:trHeight w:val="1079" w:hRule="atLeast"/>
        </w:trPr>
        <w:tc>
          <w:tcPr>
            <w:tcW w:w="1217" w:type="dxa"/>
            <w:vMerge w:val="restart"/>
            <w:tcBorders>
              <w:left w:val="single" w:sz="12" w:space="0" w:color="ECE9D8"/>
            </w:tcBorders>
          </w:tcPr>
          <w:p>
            <w:pPr>
              <w:pStyle w:val="TableParagraph"/>
              <w:tabs>
                <w:tab w:pos="977" w:val="left" w:leader="none"/>
              </w:tabs>
              <w:spacing w:before="141"/>
              <w:ind w:left="44" w:right="39"/>
              <w:rPr>
                <w:sz w:val="20"/>
              </w:rPr>
            </w:pPr>
            <w:r>
              <w:rPr>
                <w:sz w:val="20"/>
              </w:rPr>
              <w:t>Name</w:t>
              <w:tab/>
            </w:r>
            <w:r>
              <w:rPr>
                <w:spacing w:val="-9"/>
                <w:sz w:val="20"/>
              </w:rPr>
              <w:t>of </w:t>
            </w:r>
            <w:r>
              <w:rPr>
                <w:sz w:val="20"/>
              </w:rPr>
              <w:t>undertaking</w:t>
            </w:r>
          </w:p>
        </w:tc>
        <w:tc>
          <w:tcPr>
            <w:tcW w:w="786" w:type="dxa"/>
            <w:vMerge w:val="restart"/>
          </w:tcPr>
          <w:p>
            <w:pPr>
              <w:pStyle w:val="TableParagraph"/>
              <w:spacing w:before="141"/>
              <w:ind w:left="48" w:right="65"/>
              <w:rPr>
                <w:sz w:val="20"/>
              </w:rPr>
            </w:pPr>
            <w:r>
              <w:rPr>
                <w:sz w:val="20"/>
              </w:rPr>
              <w:t>Station and District</w:t>
            </w:r>
          </w:p>
        </w:tc>
        <w:tc>
          <w:tcPr>
            <w:tcW w:w="898" w:type="dxa"/>
            <w:vMerge w:val="restart"/>
          </w:tcPr>
          <w:p>
            <w:pPr>
              <w:pStyle w:val="TableParagraph"/>
              <w:spacing w:before="141"/>
              <w:ind w:left="48" w:right="94"/>
              <w:jc w:val="both"/>
              <w:rPr>
                <w:sz w:val="20"/>
              </w:rPr>
            </w:pPr>
            <w:r>
              <w:rPr>
                <w:sz w:val="20"/>
              </w:rPr>
              <w:t>Normal working strength</w:t>
            </w:r>
          </w:p>
        </w:tc>
        <w:tc>
          <w:tcPr>
            <w:tcW w:w="1542" w:type="dxa"/>
            <w:gridSpan w:val="2"/>
          </w:tcPr>
          <w:p>
            <w:pPr>
              <w:pStyle w:val="TableParagraph"/>
              <w:tabs>
                <w:tab w:pos="1301" w:val="left" w:leader="none"/>
              </w:tabs>
              <w:spacing w:before="141"/>
              <w:ind w:left="47" w:right="40"/>
              <w:rPr>
                <w:sz w:val="20"/>
              </w:rPr>
            </w:pPr>
            <w:r>
              <w:rPr>
                <w:sz w:val="20"/>
              </w:rPr>
              <w:t>Number</w:t>
              <w:tab/>
            </w:r>
            <w:r>
              <w:rPr>
                <w:spacing w:val="-9"/>
                <w:sz w:val="20"/>
              </w:rPr>
              <w:t>of </w:t>
            </w:r>
            <w:r>
              <w:rPr>
                <w:sz w:val="20"/>
              </w:rPr>
              <w:t>workers involved</w:t>
            </w:r>
          </w:p>
        </w:tc>
        <w:tc>
          <w:tcPr>
            <w:tcW w:w="633" w:type="dxa"/>
            <w:vMerge w:val="restart"/>
          </w:tcPr>
          <w:p>
            <w:pPr>
              <w:pStyle w:val="TableParagraph"/>
              <w:spacing w:before="141"/>
              <w:ind w:left="46" w:right="25"/>
              <w:rPr>
                <w:sz w:val="20"/>
              </w:rPr>
            </w:pPr>
            <w:r>
              <w:rPr>
                <w:sz w:val="20"/>
              </w:rPr>
              <w:t>Strike or lock </w:t>
            </w:r>
            <w:r>
              <w:rPr>
                <w:spacing w:val="-17"/>
                <w:sz w:val="20"/>
              </w:rPr>
              <w:t>-</w:t>
            </w:r>
          </w:p>
          <w:p>
            <w:pPr>
              <w:pStyle w:val="TableParagraph"/>
              <w:spacing w:line="230" w:lineRule="exact" w:before="1"/>
              <w:ind w:left="46"/>
              <w:rPr>
                <w:sz w:val="20"/>
              </w:rPr>
            </w:pPr>
            <w:r>
              <w:rPr>
                <w:w w:val="100"/>
                <w:sz w:val="20"/>
              </w:rPr>
              <w:t>-</w:t>
            </w:r>
          </w:p>
          <w:p>
            <w:pPr>
              <w:pStyle w:val="TableParagraph"/>
              <w:spacing w:line="230" w:lineRule="exact"/>
              <w:ind w:left="46"/>
              <w:rPr>
                <w:sz w:val="20"/>
              </w:rPr>
            </w:pPr>
            <w:r>
              <w:rPr>
                <w:sz w:val="20"/>
              </w:rPr>
              <w:t>out</w:t>
            </w:r>
          </w:p>
        </w:tc>
        <w:tc>
          <w:tcPr>
            <w:tcW w:w="887" w:type="dxa"/>
            <w:vMerge w:val="restart"/>
          </w:tcPr>
          <w:p>
            <w:pPr>
              <w:pStyle w:val="TableParagraph"/>
              <w:spacing w:before="141"/>
              <w:ind w:left="46" w:right="24"/>
              <w:rPr>
                <w:sz w:val="20"/>
              </w:rPr>
            </w:pPr>
            <w:r>
              <w:rPr>
                <w:sz w:val="20"/>
              </w:rPr>
              <w:t>Date of commen cement of strike or</w:t>
            </w:r>
          </w:p>
          <w:p>
            <w:pPr>
              <w:pStyle w:val="TableParagraph"/>
              <w:tabs>
                <w:tab w:pos="679" w:val="left" w:leader="none"/>
              </w:tabs>
              <w:spacing w:before="1"/>
              <w:ind w:left="46" w:right="42"/>
              <w:rPr>
                <w:sz w:val="20"/>
              </w:rPr>
            </w:pPr>
            <w:r>
              <w:rPr>
                <w:sz w:val="20"/>
              </w:rPr>
              <w:t>lock</w:t>
              <w:tab/>
            </w:r>
            <w:r>
              <w:rPr>
                <w:spacing w:val="-9"/>
                <w:sz w:val="20"/>
              </w:rPr>
              <w:t>-- </w:t>
            </w:r>
            <w:r>
              <w:rPr>
                <w:sz w:val="20"/>
              </w:rPr>
              <w:t>out</w:t>
            </w:r>
          </w:p>
        </w:tc>
        <w:tc>
          <w:tcPr>
            <w:tcW w:w="754" w:type="dxa"/>
            <w:vMerge w:val="restart"/>
          </w:tcPr>
          <w:p>
            <w:pPr>
              <w:pStyle w:val="TableParagraph"/>
              <w:spacing w:before="141"/>
              <w:ind w:left="45"/>
              <w:rPr>
                <w:sz w:val="20"/>
              </w:rPr>
            </w:pPr>
            <w:r>
              <w:rPr>
                <w:sz w:val="20"/>
              </w:rPr>
              <w:t>Cause</w:t>
            </w:r>
          </w:p>
        </w:tc>
        <w:tc>
          <w:tcPr>
            <w:tcW w:w="732" w:type="dxa"/>
            <w:vMerge w:val="restart"/>
          </w:tcPr>
          <w:p>
            <w:pPr>
              <w:pStyle w:val="TableParagraph"/>
              <w:spacing w:before="141"/>
              <w:ind w:left="45" w:right="119"/>
              <w:rPr>
                <w:sz w:val="20"/>
              </w:rPr>
            </w:pPr>
            <w:r>
              <w:rPr>
                <w:sz w:val="20"/>
              </w:rPr>
              <w:t>Was notice of strike or lock out</w:t>
            </w:r>
          </w:p>
          <w:p>
            <w:pPr>
              <w:pStyle w:val="TableParagraph"/>
              <w:tabs>
                <w:tab w:pos="389" w:val="left" w:leader="none"/>
              </w:tabs>
              <w:ind w:left="45" w:right="41"/>
              <w:rPr>
                <w:sz w:val="20"/>
              </w:rPr>
            </w:pPr>
            <w:r>
              <w:rPr>
                <w:sz w:val="20"/>
              </w:rPr>
              <w:t>given? If</w:t>
              <w:tab/>
            </w:r>
            <w:r>
              <w:rPr>
                <w:spacing w:val="-6"/>
                <w:sz w:val="20"/>
              </w:rPr>
              <w:t>so, </w:t>
            </w:r>
            <w:r>
              <w:rPr>
                <w:sz w:val="20"/>
              </w:rPr>
              <w:t>on what date and for what period</w:t>
            </w:r>
          </w:p>
        </w:tc>
        <w:tc>
          <w:tcPr>
            <w:tcW w:w="1254" w:type="dxa"/>
            <w:vMerge w:val="restart"/>
          </w:tcPr>
          <w:p>
            <w:pPr>
              <w:pStyle w:val="TableParagraph"/>
              <w:tabs>
                <w:tab w:pos="902" w:val="left" w:leader="none"/>
                <w:tab w:pos="1001" w:val="left" w:leader="none"/>
              </w:tabs>
              <w:spacing w:before="141"/>
              <w:ind w:left="45" w:right="40"/>
              <w:rPr>
                <w:sz w:val="20"/>
              </w:rPr>
            </w:pPr>
            <w:r>
              <w:rPr>
                <w:sz w:val="20"/>
              </w:rPr>
              <w:t>Is there </w:t>
            </w:r>
            <w:r>
              <w:rPr>
                <w:spacing w:val="-5"/>
                <w:sz w:val="20"/>
              </w:rPr>
              <w:t>any </w:t>
            </w:r>
            <w:r>
              <w:rPr>
                <w:sz w:val="20"/>
              </w:rPr>
              <w:t>permanent agency</w:t>
              <w:tab/>
              <w:tab/>
            </w:r>
            <w:r>
              <w:rPr>
                <w:spacing w:val="-8"/>
                <w:sz w:val="20"/>
              </w:rPr>
              <w:t>or </w:t>
            </w:r>
            <w:r>
              <w:rPr>
                <w:sz w:val="20"/>
              </w:rPr>
              <w:t>arrangement in</w:t>
              <w:tab/>
            </w:r>
            <w:r>
              <w:rPr>
                <w:spacing w:val="-6"/>
                <w:sz w:val="20"/>
              </w:rPr>
              <w:t>the</w:t>
            </w:r>
          </w:p>
          <w:p>
            <w:pPr>
              <w:pStyle w:val="TableParagraph"/>
              <w:tabs>
                <w:tab w:pos="902" w:val="left" w:leader="none"/>
              </w:tabs>
              <w:spacing w:before="1"/>
              <w:ind w:left="45" w:right="40"/>
              <w:rPr>
                <w:sz w:val="20"/>
              </w:rPr>
            </w:pPr>
            <w:r>
              <w:rPr>
                <w:sz w:val="20"/>
              </w:rPr>
              <w:t>undertaking for</w:t>
              <w:tab/>
            </w:r>
            <w:r>
              <w:rPr>
                <w:spacing w:val="-6"/>
                <w:sz w:val="20"/>
              </w:rPr>
              <w:t>the</w:t>
            </w:r>
          </w:p>
          <w:p>
            <w:pPr>
              <w:pStyle w:val="TableParagraph"/>
              <w:tabs>
                <w:tab w:pos="434" w:val="left" w:leader="none"/>
              </w:tabs>
              <w:ind w:left="45" w:right="41"/>
              <w:rPr>
                <w:sz w:val="20"/>
              </w:rPr>
            </w:pPr>
            <w:r>
              <w:rPr>
                <w:sz w:val="20"/>
              </w:rPr>
              <w:t>settlement of</w:t>
              <w:tab/>
            </w:r>
            <w:r>
              <w:rPr>
                <w:spacing w:val="-3"/>
                <w:sz w:val="20"/>
              </w:rPr>
              <w:t>disputes </w:t>
            </w:r>
            <w:r>
              <w:rPr>
                <w:sz w:val="20"/>
              </w:rPr>
              <w:t>between </w:t>
            </w:r>
            <w:r>
              <w:rPr>
                <w:spacing w:val="-6"/>
                <w:sz w:val="20"/>
              </w:rPr>
              <w:t>the </w:t>
            </w:r>
            <w:r>
              <w:rPr>
                <w:sz w:val="20"/>
              </w:rPr>
              <w:t>employer and workmen?</w:t>
            </w:r>
          </w:p>
          <w:p>
            <w:pPr>
              <w:pStyle w:val="TableParagraph"/>
              <w:tabs>
                <w:tab w:pos="857" w:val="left" w:leader="none"/>
              </w:tabs>
              <w:ind w:left="45"/>
              <w:rPr>
                <w:sz w:val="20"/>
              </w:rPr>
            </w:pPr>
            <w:r>
              <w:rPr>
                <w:sz w:val="20"/>
              </w:rPr>
              <w:t>If</w:t>
              <w:tab/>
              <w:t>any</w:t>
            </w:r>
          </w:p>
          <w:p>
            <w:pPr>
              <w:pStyle w:val="TableParagraph"/>
              <w:ind w:left="45" w:right="236"/>
              <w:rPr>
                <w:sz w:val="20"/>
              </w:rPr>
            </w:pPr>
            <w:r>
              <w:rPr>
                <w:sz w:val="20"/>
              </w:rPr>
              <w:t>exists, particulars thereof</w:t>
            </w:r>
          </w:p>
        </w:tc>
        <w:tc>
          <w:tcPr>
            <w:tcW w:w="773" w:type="dxa"/>
            <w:vMerge w:val="restart"/>
          </w:tcPr>
          <w:p>
            <w:pPr>
              <w:pStyle w:val="TableParagraph"/>
              <w:spacing w:before="141"/>
              <w:ind w:left="45" w:right="77"/>
              <w:rPr>
                <w:sz w:val="20"/>
              </w:rPr>
            </w:pPr>
            <w:r>
              <w:rPr>
                <w:sz w:val="20"/>
              </w:rPr>
              <w:t>Any other infor mation</w:t>
            </w:r>
          </w:p>
        </w:tc>
      </w:tr>
      <w:tr>
        <w:trPr>
          <w:trHeight w:val="3189" w:hRule="atLeast"/>
        </w:trPr>
        <w:tc>
          <w:tcPr>
            <w:tcW w:w="1217" w:type="dxa"/>
            <w:vMerge/>
            <w:tcBorders>
              <w:top w:val="nil"/>
              <w:left w:val="single" w:sz="12" w:space="0" w:color="ECE9D8"/>
            </w:tcBorders>
          </w:tcPr>
          <w:p>
            <w:pPr>
              <w:rPr>
                <w:sz w:val="2"/>
                <w:szCs w:val="2"/>
              </w:rPr>
            </w:pPr>
          </w:p>
        </w:tc>
        <w:tc>
          <w:tcPr>
            <w:tcW w:w="786" w:type="dxa"/>
            <w:vMerge/>
            <w:tcBorders>
              <w:top w:val="nil"/>
            </w:tcBorders>
          </w:tcPr>
          <w:p>
            <w:pPr>
              <w:rPr>
                <w:sz w:val="2"/>
                <w:szCs w:val="2"/>
              </w:rPr>
            </w:pPr>
          </w:p>
        </w:tc>
        <w:tc>
          <w:tcPr>
            <w:tcW w:w="898" w:type="dxa"/>
            <w:vMerge/>
            <w:tcBorders>
              <w:top w:val="nil"/>
            </w:tcBorders>
          </w:tcPr>
          <w:p>
            <w:pPr>
              <w:rPr>
                <w:sz w:val="2"/>
                <w:szCs w:val="2"/>
              </w:rPr>
            </w:pPr>
          </w:p>
        </w:tc>
        <w:tc>
          <w:tcPr>
            <w:tcW w:w="788" w:type="dxa"/>
          </w:tcPr>
          <w:p>
            <w:pPr>
              <w:pStyle w:val="TableParagraph"/>
              <w:spacing w:before="142"/>
              <w:ind w:left="47"/>
              <w:rPr>
                <w:sz w:val="20"/>
              </w:rPr>
            </w:pPr>
            <w:r>
              <w:rPr>
                <w:sz w:val="20"/>
              </w:rPr>
              <w:t>Directly</w:t>
            </w:r>
          </w:p>
        </w:tc>
        <w:tc>
          <w:tcPr>
            <w:tcW w:w="754" w:type="dxa"/>
          </w:tcPr>
          <w:p>
            <w:pPr>
              <w:pStyle w:val="TableParagraph"/>
              <w:spacing w:before="142"/>
              <w:ind w:left="47" w:right="23"/>
              <w:rPr>
                <w:sz w:val="20"/>
              </w:rPr>
            </w:pPr>
            <w:r>
              <w:rPr>
                <w:sz w:val="20"/>
              </w:rPr>
              <w:t>In- directly</w:t>
            </w:r>
          </w:p>
          <w:p>
            <w:pPr>
              <w:pStyle w:val="TableParagraph"/>
              <w:spacing w:before="5"/>
              <w:rPr>
                <w:sz w:val="17"/>
              </w:rPr>
            </w:pPr>
          </w:p>
          <w:p>
            <w:pPr>
              <w:pStyle w:val="TableParagraph"/>
              <w:ind w:left="47"/>
              <w:rPr>
                <w:sz w:val="20"/>
              </w:rPr>
            </w:pPr>
            <w:r>
              <w:rPr>
                <w:w w:val="100"/>
                <w:sz w:val="20"/>
              </w:rPr>
              <w:t>S</w:t>
            </w:r>
          </w:p>
        </w:tc>
        <w:tc>
          <w:tcPr>
            <w:tcW w:w="633" w:type="dxa"/>
            <w:vMerge/>
            <w:tcBorders>
              <w:top w:val="nil"/>
            </w:tcBorders>
          </w:tcPr>
          <w:p>
            <w:pPr>
              <w:rPr>
                <w:sz w:val="2"/>
                <w:szCs w:val="2"/>
              </w:rPr>
            </w:pPr>
          </w:p>
        </w:tc>
        <w:tc>
          <w:tcPr>
            <w:tcW w:w="887" w:type="dxa"/>
            <w:vMerge/>
            <w:tcBorders>
              <w:top w:val="nil"/>
            </w:tcBorders>
          </w:tcPr>
          <w:p>
            <w:pPr>
              <w:rPr>
                <w:sz w:val="2"/>
                <w:szCs w:val="2"/>
              </w:rPr>
            </w:pPr>
          </w:p>
        </w:tc>
        <w:tc>
          <w:tcPr>
            <w:tcW w:w="754" w:type="dxa"/>
            <w:vMerge/>
            <w:tcBorders>
              <w:top w:val="nil"/>
            </w:tcBorders>
          </w:tcPr>
          <w:p>
            <w:pPr>
              <w:rPr>
                <w:sz w:val="2"/>
                <w:szCs w:val="2"/>
              </w:rPr>
            </w:pPr>
          </w:p>
        </w:tc>
        <w:tc>
          <w:tcPr>
            <w:tcW w:w="732" w:type="dxa"/>
            <w:vMerge/>
            <w:tcBorders>
              <w:top w:val="nil"/>
            </w:tcBorders>
          </w:tcPr>
          <w:p>
            <w:pPr>
              <w:rPr>
                <w:sz w:val="2"/>
                <w:szCs w:val="2"/>
              </w:rPr>
            </w:pPr>
          </w:p>
        </w:tc>
        <w:tc>
          <w:tcPr>
            <w:tcW w:w="1254" w:type="dxa"/>
            <w:vMerge/>
            <w:tcBorders>
              <w:top w:val="nil"/>
            </w:tcBorders>
          </w:tcPr>
          <w:p>
            <w:pPr>
              <w:rPr>
                <w:sz w:val="2"/>
                <w:szCs w:val="2"/>
              </w:rPr>
            </w:pPr>
          </w:p>
        </w:tc>
        <w:tc>
          <w:tcPr>
            <w:tcW w:w="773" w:type="dxa"/>
            <w:vMerge/>
            <w:tcBorders>
              <w:top w:val="nil"/>
            </w:tcBorders>
          </w:tcPr>
          <w:p>
            <w:pPr>
              <w:rPr>
                <w:sz w:val="2"/>
                <w:szCs w:val="2"/>
              </w:rPr>
            </w:pPr>
          </w:p>
        </w:tc>
      </w:tr>
      <w:tr>
        <w:trPr>
          <w:trHeight w:val="620" w:hRule="atLeast"/>
        </w:trPr>
        <w:tc>
          <w:tcPr>
            <w:tcW w:w="1217" w:type="dxa"/>
            <w:tcBorders>
              <w:left w:val="single" w:sz="12" w:space="0" w:color="ECE9D8"/>
            </w:tcBorders>
          </w:tcPr>
          <w:p>
            <w:pPr>
              <w:pStyle w:val="TableParagraph"/>
              <w:spacing w:before="142"/>
              <w:ind w:left="44"/>
              <w:rPr>
                <w:sz w:val="20"/>
              </w:rPr>
            </w:pPr>
            <w:r>
              <w:rPr>
                <w:w w:val="100"/>
                <w:sz w:val="20"/>
              </w:rPr>
              <w:t>1</w:t>
            </w:r>
          </w:p>
        </w:tc>
        <w:tc>
          <w:tcPr>
            <w:tcW w:w="786" w:type="dxa"/>
          </w:tcPr>
          <w:p>
            <w:pPr>
              <w:pStyle w:val="TableParagraph"/>
              <w:spacing w:before="142"/>
              <w:ind w:left="48"/>
              <w:rPr>
                <w:sz w:val="20"/>
              </w:rPr>
            </w:pPr>
            <w:r>
              <w:rPr>
                <w:w w:val="100"/>
                <w:sz w:val="20"/>
              </w:rPr>
              <w:t>2</w:t>
            </w:r>
          </w:p>
        </w:tc>
        <w:tc>
          <w:tcPr>
            <w:tcW w:w="898" w:type="dxa"/>
          </w:tcPr>
          <w:p>
            <w:pPr>
              <w:pStyle w:val="TableParagraph"/>
              <w:spacing w:before="142"/>
              <w:ind w:left="48"/>
              <w:rPr>
                <w:sz w:val="20"/>
              </w:rPr>
            </w:pPr>
            <w:r>
              <w:rPr>
                <w:w w:val="100"/>
                <w:sz w:val="20"/>
              </w:rPr>
              <w:t>3</w:t>
            </w:r>
          </w:p>
        </w:tc>
        <w:tc>
          <w:tcPr>
            <w:tcW w:w="788" w:type="dxa"/>
          </w:tcPr>
          <w:p>
            <w:pPr>
              <w:pStyle w:val="TableParagraph"/>
              <w:spacing w:before="142"/>
              <w:ind w:left="47"/>
              <w:rPr>
                <w:sz w:val="20"/>
              </w:rPr>
            </w:pPr>
            <w:r>
              <w:rPr>
                <w:w w:val="100"/>
                <w:sz w:val="20"/>
              </w:rPr>
              <w:t>4</w:t>
            </w:r>
          </w:p>
        </w:tc>
        <w:tc>
          <w:tcPr>
            <w:tcW w:w="754" w:type="dxa"/>
          </w:tcPr>
          <w:p>
            <w:pPr>
              <w:pStyle w:val="TableParagraph"/>
              <w:spacing w:before="142"/>
              <w:ind w:left="47"/>
              <w:rPr>
                <w:sz w:val="20"/>
              </w:rPr>
            </w:pPr>
            <w:r>
              <w:rPr>
                <w:w w:val="100"/>
                <w:sz w:val="20"/>
              </w:rPr>
              <w:t>5</w:t>
            </w:r>
          </w:p>
        </w:tc>
        <w:tc>
          <w:tcPr>
            <w:tcW w:w="633" w:type="dxa"/>
          </w:tcPr>
          <w:p>
            <w:pPr>
              <w:pStyle w:val="TableParagraph"/>
              <w:spacing w:before="142"/>
              <w:ind w:left="46"/>
              <w:rPr>
                <w:sz w:val="20"/>
              </w:rPr>
            </w:pPr>
            <w:r>
              <w:rPr>
                <w:w w:val="100"/>
                <w:sz w:val="20"/>
              </w:rPr>
              <w:t>6</w:t>
            </w:r>
          </w:p>
        </w:tc>
        <w:tc>
          <w:tcPr>
            <w:tcW w:w="887" w:type="dxa"/>
          </w:tcPr>
          <w:p>
            <w:pPr>
              <w:pStyle w:val="TableParagraph"/>
              <w:spacing w:before="142"/>
              <w:ind w:left="46"/>
              <w:rPr>
                <w:sz w:val="20"/>
              </w:rPr>
            </w:pPr>
            <w:r>
              <w:rPr>
                <w:w w:val="100"/>
                <w:sz w:val="20"/>
              </w:rPr>
              <w:t>7</w:t>
            </w:r>
          </w:p>
        </w:tc>
        <w:tc>
          <w:tcPr>
            <w:tcW w:w="754" w:type="dxa"/>
          </w:tcPr>
          <w:p>
            <w:pPr>
              <w:pStyle w:val="TableParagraph"/>
              <w:spacing w:before="142"/>
              <w:ind w:left="45"/>
              <w:rPr>
                <w:sz w:val="20"/>
              </w:rPr>
            </w:pPr>
            <w:r>
              <w:rPr>
                <w:w w:val="100"/>
                <w:sz w:val="20"/>
              </w:rPr>
              <w:t>8</w:t>
            </w:r>
          </w:p>
        </w:tc>
        <w:tc>
          <w:tcPr>
            <w:tcW w:w="732" w:type="dxa"/>
          </w:tcPr>
          <w:p>
            <w:pPr>
              <w:pStyle w:val="TableParagraph"/>
              <w:spacing w:before="142"/>
              <w:ind w:left="45"/>
              <w:rPr>
                <w:sz w:val="20"/>
              </w:rPr>
            </w:pPr>
            <w:r>
              <w:rPr>
                <w:w w:val="100"/>
                <w:sz w:val="20"/>
              </w:rPr>
              <w:t>9</w:t>
            </w:r>
          </w:p>
        </w:tc>
        <w:tc>
          <w:tcPr>
            <w:tcW w:w="1254" w:type="dxa"/>
          </w:tcPr>
          <w:p>
            <w:pPr>
              <w:pStyle w:val="TableParagraph"/>
              <w:spacing w:before="142"/>
              <w:ind w:left="45"/>
              <w:rPr>
                <w:sz w:val="20"/>
              </w:rPr>
            </w:pPr>
            <w:r>
              <w:rPr>
                <w:sz w:val="20"/>
              </w:rPr>
              <w:t>10</w:t>
            </w:r>
          </w:p>
        </w:tc>
        <w:tc>
          <w:tcPr>
            <w:tcW w:w="773" w:type="dxa"/>
          </w:tcPr>
          <w:p>
            <w:pPr>
              <w:pStyle w:val="TableParagraph"/>
              <w:spacing w:before="142"/>
              <w:ind w:left="45"/>
              <w:rPr>
                <w:sz w:val="20"/>
              </w:rPr>
            </w:pPr>
            <w:r>
              <w:rPr>
                <w:sz w:val="20"/>
              </w:rPr>
              <w:t>11</w:t>
            </w:r>
          </w:p>
        </w:tc>
      </w:tr>
      <w:tr>
        <w:trPr>
          <w:trHeight w:val="620" w:hRule="atLeast"/>
        </w:trPr>
        <w:tc>
          <w:tcPr>
            <w:tcW w:w="1217" w:type="dxa"/>
            <w:tcBorders>
              <w:left w:val="single" w:sz="12" w:space="0" w:color="ECE9D8"/>
            </w:tcBorders>
          </w:tcPr>
          <w:p>
            <w:pPr>
              <w:pStyle w:val="TableParagraph"/>
              <w:rPr>
                <w:rFonts w:ascii="Times New Roman"/>
                <w:sz w:val="20"/>
              </w:rPr>
            </w:pPr>
          </w:p>
        </w:tc>
        <w:tc>
          <w:tcPr>
            <w:tcW w:w="786" w:type="dxa"/>
          </w:tcPr>
          <w:p>
            <w:pPr>
              <w:pStyle w:val="TableParagraph"/>
              <w:rPr>
                <w:rFonts w:ascii="Times New Roman"/>
                <w:sz w:val="20"/>
              </w:rPr>
            </w:pPr>
          </w:p>
        </w:tc>
        <w:tc>
          <w:tcPr>
            <w:tcW w:w="898" w:type="dxa"/>
          </w:tcPr>
          <w:p>
            <w:pPr>
              <w:pStyle w:val="TableParagraph"/>
              <w:rPr>
                <w:rFonts w:ascii="Times New Roman"/>
                <w:sz w:val="20"/>
              </w:rPr>
            </w:pPr>
          </w:p>
        </w:tc>
        <w:tc>
          <w:tcPr>
            <w:tcW w:w="788" w:type="dxa"/>
          </w:tcPr>
          <w:p>
            <w:pPr>
              <w:pStyle w:val="TableParagraph"/>
              <w:rPr>
                <w:rFonts w:ascii="Times New Roman"/>
                <w:sz w:val="20"/>
              </w:rPr>
            </w:pPr>
          </w:p>
        </w:tc>
        <w:tc>
          <w:tcPr>
            <w:tcW w:w="754" w:type="dxa"/>
          </w:tcPr>
          <w:p>
            <w:pPr>
              <w:pStyle w:val="TableParagraph"/>
              <w:rPr>
                <w:rFonts w:ascii="Times New Roman"/>
                <w:sz w:val="20"/>
              </w:rPr>
            </w:pPr>
          </w:p>
        </w:tc>
        <w:tc>
          <w:tcPr>
            <w:tcW w:w="633" w:type="dxa"/>
          </w:tcPr>
          <w:p>
            <w:pPr>
              <w:pStyle w:val="TableParagraph"/>
              <w:rPr>
                <w:rFonts w:ascii="Times New Roman"/>
                <w:sz w:val="20"/>
              </w:rPr>
            </w:pPr>
          </w:p>
        </w:tc>
        <w:tc>
          <w:tcPr>
            <w:tcW w:w="887" w:type="dxa"/>
          </w:tcPr>
          <w:p>
            <w:pPr>
              <w:pStyle w:val="TableParagraph"/>
              <w:rPr>
                <w:rFonts w:ascii="Times New Roman"/>
                <w:sz w:val="20"/>
              </w:rPr>
            </w:pPr>
          </w:p>
        </w:tc>
        <w:tc>
          <w:tcPr>
            <w:tcW w:w="754" w:type="dxa"/>
          </w:tcPr>
          <w:p>
            <w:pPr>
              <w:pStyle w:val="TableParagraph"/>
              <w:rPr>
                <w:rFonts w:ascii="Times New Roman"/>
                <w:sz w:val="20"/>
              </w:rPr>
            </w:pPr>
          </w:p>
        </w:tc>
        <w:tc>
          <w:tcPr>
            <w:tcW w:w="732" w:type="dxa"/>
          </w:tcPr>
          <w:p>
            <w:pPr>
              <w:pStyle w:val="TableParagraph"/>
              <w:rPr>
                <w:rFonts w:ascii="Times New Roman"/>
                <w:sz w:val="20"/>
              </w:rPr>
            </w:pPr>
          </w:p>
        </w:tc>
        <w:tc>
          <w:tcPr>
            <w:tcW w:w="1254" w:type="dxa"/>
          </w:tcPr>
          <w:p>
            <w:pPr>
              <w:pStyle w:val="TableParagraph"/>
              <w:rPr>
                <w:rFonts w:ascii="Times New Roman"/>
                <w:sz w:val="20"/>
              </w:rPr>
            </w:pPr>
          </w:p>
        </w:tc>
        <w:tc>
          <w:tcPr>
            <w:tcW w:w="773" w:type="dxa"/>
          </w:tcPr>
          <w:p>
            <w:pPr>
              <w:pStyle w:val="TableParagraph"/>
              <w:rPr>
                <w:rFonts w:ascii="Times New Roman"/>
                <w:sz w:val="20"/>
              </w:rPr>
            </w:pPr>
          </w:p>
        </w:tc>
      </w:tr>
      <w:tr>
        <w:trPr>
          <w:trHeight w:val="612" w:hRule="atLeast"/>
        </w:trPr>
        <w:tc>
          <w:tcPr>
            <w:tcW w:w="1217" w:type="dxa"/>
            <w:tcBorders>
              <w:left w:val="single" w:sz="12" w:space="0" w:color="ECE9D8"/>
              <w:bottom w:val="single" w:sz="18" w:space="0" w:color="ACA89A"/>
            </w:tcBorders>
          </w:tcPr>
          <w:p>
            <w:pPr>
              <w:pStyle w:val="TableParagraph"/>
              <w:rPr>
                <w:rFonts w:ascii="Times New Roman"/>
                <w:sz w:val="20"/>
              </w:rPr>
            </w:pPr>
          </w:p>
        </w:tc>
        <w:tc>
          <w:tcPr>
            <w:tcW w:w="786" w:type="dxa"/>
            <w:tcBorders>
              <w:bottom w:val="single" w:sz="18" w:space="0" w:color="ACA89A"/>
            </w:tcBorders>
          </w:tcPr>
          <w:p>
            <w:pPr>
              <w:pStyle w:val="TableParagraph"/>
              <w:rPr>
                <w:rFonts w:ascii="Times New Roman"/>
                <w:sz w:val="20"/>
              </w:rPr>
            </w:pPr>
          </w:p>
        </w:tc>
        <w:tc>
          <w:tcPr>
            <w:tcW w:w="898" w:type="dxa"/>
            <w:tcBorders>
              <w:bottom w:val="single" w:sz="18" w:space="0" w:color="ACA89A"/>
            </w:tcBorders>
          </w:tcPr>
          <w:p>
            <w:pPr>
              <w:pStyle w:val="TableParagraph"/>
              <w:rPr>
                <w:rFonts w:ascii="Times New Roman"/>
                <w:sz w:val="20"/>
              </w:rPr>
            </w:pPr>
          </w:p>
        </w:tc>
        <w:tc>
          <w:tcPr>
            <w:tcW w:w="788" w:type="dxa"/>
            <w:tcBorders>
              <w:bottom w:val="single" w:sz="18" w:space="0" w:color="ACA89A"/>
            </w:tcBorders>
          </w:tcPr>
          <w:p>
            <w:pPr>
              <w:pStyle w:val="TableParagraph"/>
              <w:rPr>
                <w:rFonts w:ascii="Times New Roman"/>
                <w:sz w:val="20"/>
              </w:rPr>
            </w:pPr>
          </w:p>
        </w:tc>
        <w:tc>
          <w:tcPr>
            <w:tcW w:w="754" w:type="dxa"/>
            <w:tcBorders>
              <w:bottom w:val="single" w:sz="18" w:space="0" w:color="ACA89A"/>
            </w:tcBorders>
          </w:tcPr>
          <w:p>
            <w:pPr>
              <w:pStyle w:val="TableParagraph"/>
              <w:rPr>
                <w:rFonts w:ascii="Times New Roman"/>
                <w:sz w:val="20"/>
              </w:rPr>
            </w:pPr>
          </w:p>
        </w:tc>
        <w:tc>
          <w:tcPr>
            <w:tcW w:w="633" w:type="dxa"/>
            <w:tcBorders>
              <w:bottom w:val="single" w:sz="18" w:space="0" w:color="ACA89A"/>
            </w:tcBorders>
          </w:tcPr>
          <w:p>
            <w:pPr>
              <w:pStyle w:val="TableParagraph"/>
              <w:rPr>
                <w:rFonts w:ascii="Times New Roman"/>
                <w:sz w:val="20"/>
              </w:rPr>
            </w:pPr>
          </w:p>
        </w:tc>
        <w:tc>
          <w:tcPr>
            <w:tcW w:w="887" w:type="dxa"/>
            <w:tcBorders>
              <w:bottom w:val="single" w:sz="18" w:space="0" w:color="ACA89A"/>
            </w:tcBorders>
          </w:tcPr>
          <w:p>
            <w:pPr>
              <w:pStyle w:val="TableParagraph"/>
              <w:rPr>
                <w:rFonts w:ascii="Times New Roman"/>
                <w:sz w:val="20"/>
              </w:rPr>
            </w:pPr>
          </w:p>
        </w:tc>
        <w:tc>
          <w:tcPr>
            <w:tcW w:w="754" w:type="dxa"/>
            <w:tcBorders>
              <w:bottom w:val="single" w:sz="18" w:space="0" w:color="ACA89A"/>
            </w:tcBorders>
          </w:tcPr>
          <w:p>
            <w:pPr>
              <w:pStyle w:val="TableParagraph"/>
              <w:rPr>
                <w:rFonts w:ascii="Times New Roman"/>
                <w:sz w:val="20"/>
              </w:rPr>
            </w:pPr>
          </w:p>
        </w:tc>
        <w:tc>
          <w:tcPr>
            <w:tcW w:w="732" w:type="dxa"/>
            <w:tcBorders>
              <w:bottom w:val="single" w:sz="18" w:space="0" w:color="ACA89A"/>
            </w:tcBorders>
          </w:tcPr>
          <w:p>
            <w:pPr>
              <w:pStyle w:val="TableParagraph"/>
              <w:rPr>
                <w:rFonts w:ascii="Times New Roman"/>
                <w:sz w:val="20"/>
              </w:rPr>
            </w:pPr>
          </w:p>
        </w:tc>
        <w:tc>
          <w:tcPr>
            <w:tcW w:w="1254" w:type="dxa"/>
            <w:tcBorders>
              <w:bottom w:val="single" w:sz="18" w:space="0" w:color="ACA89A"/>
            </w:tcBorders>
          </w:tcPr>
          <w:p>
            <w:pPr>
              <w:pStyle w:val="TableParagraph"/>
              <w:rPr>
                <w:rFonts w:ascii="Times New Roman"/>
                <w:sz w:val="20"/>
              </w:rPr>
            </w:pPr>
          </w:p>
        </w:tc>
        <w:tc>
          <w:tcPr>
            <w:tcW w:w="773" w:type="dxa"/>
            <w:tcBorders>
              <w:bottom w:val="single" w:sz="18" w:space="0" w:color="ACA89A"/>
            </w:tcBorders>
          </w:tcPr>
          <w:p>
            <w:pPr>
              <w:pStyle w:val="TableParagraph"/>
              <w:rPr>
                <w:rFonts w:ascii="Times New Roman"/>
                <w:sz w:val="20"/>
              </w:rPr>
            </w:pPr>
          </w:p>
        </w:tc>
      </w:tr>
    </w:tbl>
    <w:p>
      <w:pPr>
        <w:pStyle w:val="Heading1"/>
        <w:spacing w:before="98"/>
      </w:pPr>
      <w:r>
        <w:rPr/>
        <w:t>Note:</w:t>
      </w:r>
    </w:p>
    <w:p>
      <w:pPr>
        <w:pStyle w:val="BodyText"/>
        <w:rPr>
          <w:b/>
          <w:sz w:val="17"/>
        </w:rPr>
      </w:pPr>
    </w:p>
    <w:p>
      <w:pPr>
        <w:pStyle w:val="BodyText"/>
        <w:spacing w:before="0"/>
        <w:ind w:left="180" w:right="176" w:hanging="1"/>
        <w:jc w:val="both"/>
      </w:pPr>
      <w:r>
        <w:rPr/>
        <w:t>Col. (3) - Give the average number of workmen employed during the month previous to the day on which the strike or lock-out occurred. While reckoning the average, omit the days on which the attendance was not normal for reasons other than individual reasons of particular workmen. Thus days on which strike or lock-out occurs or communal holiday is enjoyed by a large section of workers should be omitted.</w:t>
      </w:r>
    </w:p>
    <w:p>
      <w:pPr>
        <w:pStyle w:val="BodyText"/>
        <w:rPr>
          <w:sz w:val="17"/>
        </w:rPr>
      </w:pPr>
    </w:p>
    <w:p>
      <w:pPr>
        <w:pStyle w:val="BodyText"/>
        <w:spacing w:before="0"/>
        <w:ind w:left="180" w:right="175" w:hanging="1"/>
        <w:jc w:val="both"/>
      </w:pPr>
      <w:r>
        <w:rPr/>
        <w:t>Col. (4)-If, say, 200 workers in a factory strike work and in consequence the whole factory employing 1,000 workers has to be closed then, 200 should be shown under "directly" and the remaining under "indirectly". If the strike of 200 workers does not affect the working of the other departments of the factory, the number of workers involved would only be 200, which figure should appear under "directly" and column "indirectly" would be blank.</w:t>
      </w:r>
    </w:p>
    <w:p>
      <w:pPr>
        <w:pStyle w:val="BodyText"/>
        <w:rPr>
          <w:sz w:val="17"/>
        </w:rPr>
      </w:pPr>
    </w:p>
    <w:p>
      <w:pPr>
        <w:pStyle w:val="BodyText"/>
        <w:spacing w:before="1"/>
        <w:ind w:left="180"/>
        <w:jc w:val="both"/>
      </w:pPr>
      <w:r>
        <w:rPr/>
        <w:t>Col. (8)- Give the causes of the dispute as well as the immediate cause that led to the strike or lock-out</w:t>
      </w:r>
    </w:p>
    <w:sectPr>
      <w:type w:val="continuous"/>
      <w:pgSz w:w="12240" w:h="15840"/>
      <w:pgMar w:top="1460" w:bottom="280" w:left="1260" w:right="1260"/>
    </w:sectPr>
  </w:body>
</w:document>
</file>

<file path=word/fontTable.xml><?xml version="1.0" encoding="utf-8"?>
<w:fonts xmlns:r="http://schemas.openxmlformats.org/officeDocument/2006/relationships" xmlns:w="http://schemas.openxmlformats.org/wordprocessingml/2006/main">
  <w:font w:name="Times New Roman">
    <w:altName w:val="Times New Roman"/>
    <w:charset w:val="0"/>
    <w:family w:val="roman"/>
    <w:pitch w:val="variable"/>
  </w:font>
  <w:font w:name="Arial">
    <w:altName w:val="Arial"/>
    <w:charset w:val="0"/>
    <w:family w:val="swiss"/>
    <w:pitch w:val="variable"/>
  </w:font>
</w:fonts>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0"/>
  <w:defaultTabStop w:val="720"/>
  <w:drawingGridHorizontalSpacing w:val="110"/>
  <w:displayHorizontalDrawingGridEvery w:val="2"/>
  <w:characterSpacingControl w:val="doNotCompress"/>
  <w:compat>
    <w:ulTrailSpace/>
    <w:shapeLayoutLikeWW8/>
    <w:useFELayout/>
  </w:compat>
</w:settings>
</file>

<file path=word/styles.xml><?xml version="1.0" encoding="utf-8"?>
<w:styles xmlns:r="http://schemas.openxmlformats.org/officeDocument/2006/relationships" xmlns:w="http://schemas.openxmlformats.org/wordprocessingml/2006/main">
  <w:docDefaults>
    <w:rPrDefault>
      <w:rPr>
        <w:rFonts w:cstheme="minorBidi" w:hAnsiTheme="minorHAnsi" w:eastAsiaTheme="minorHAnsi" w:asciiTheme="minorHAnsi"/>
        <w:sz w:val="22"/>
        <w:szCs w:val="22"/>
        <w:lang w:val="en-US" w:bidi="ar-SA" w:eastAsia="en-US"/>
      </w:rPr>
    </w:rPrDefault>
    <w:pPrDefault>
      <w:pPr>
        <w:widowControl w:val="0"/>
        <w:autoSpaceDE w:val="0"/>
        <w:autoSpaceDN w:val="0"/>
        <w:spacing w:lineRule="auto" w:line="240" w:before="0" w:after="0"/>
        <w:ind w:left="0" w:right="0"/>
        <w:jc w:val="left"/>
      </w:pPr>
    </w:pPrDefault>
  </w:docDefaults>
  <w:style w:styleId="DefaultParagraphFont" w:default="1" w:type="character">
    <w:name w:val="Default Paragraph Font"/>
    <w:uiPriority w:val="1"/>
    <w:semiHidden/>
    <w:unhideWhenUsed/>
  </w:style>
  <w:style w:styleId="TableNormal" w:default="1" w:type="table">
    <w:name w:val="Table Normal"/>
    <w:uiPriority w:val="2"/>
    <w:semiHidden/>
    <w:unhideWhenUsed/>
    <w:qFormat/>
    <w:tblPr>
      <w:tblInd w:w="0" w:type="dxa"/>
      <w:tblCellMar>
        <w:top w:w="0" w:type="dxa"/>
        <w:left w:w="0" w:type="dxa"/>
        <w:bottom w:w="0" w:type="dxa"/>
        <w:right w:w="0" w:type="dxa"/>
      </w:tblCellMar>
    </w:tblPr>
  </w:style>
  <w:style w:styleId="NoList" w:default="1" w:type="numbering">
    <w:name w:val="No List"/>
    <w:uiPriority w:val="99"/>
    <w:semiHidden/>
    <w:unhideWhenUsed/>
  </w:style>
  <w:style w:default="1" w:styleId="Normal" w:type="paragraph">
    <w:name w:val="Normal"/>
    <w:uiPriority w:val="1"/>
    <w:qFormat/>
    <w:pPr/>
    <w:rPr>
      <w:rFonts w:ascii="Arial" w:hAnsi="Arial" w:eastAsia="Arial" w:cs="Arial"/>
      <w:lang w:val="en-US" w:eastAsia="en-US" w:bidi="ar-SA"/>
    </w:rPr>
  </w:style>
  <w:style w:styleId="BodyText" w:type="paragraph">
    <w:name w:val="Body Text"/>
    <w:basedOn w:val="Normal"/>
    <w:uiPriority w:val="1"/>
    <w:qFormat/>
    <w:pPr>
      <w:spacing w:before="4"/>
    </w:pPr>
    <w:rPr>
      <w:rFonts w:ascii="Arial" w:hAnsi="Arial" w:eastAsia="Arial" w:cs="Arial"/>
      <w:sz w:val="20"/>
      <w:szCs w:val="20"/>
      <w:lang w:val="en-US" w:eastAsia="en-US" w:bidi="ar-SA"/>
    </w:rPr>
  </w:style>
  <w:style w:styleId="Heading1" w:type="paragraph">
    <w:name w:val="Heading 1"/>
    <w:basedOn w:val="Normal"/>
    <w:uiPriority w:val="1"/>
    <w:qFormat/>
    <w:pPr>
      <w:spacing w:before="78"/>
      <w:ind w:left="180"/>
      <w:outlineLvl w:val="1"/>
    </w:pPr>
    <w:rPr>
      <w:rFonts w:ascii="Arial" w:hAnsi="Arial" w:eastAsia="Arial" w:cs="Arial"/>
      <w:b/>
      <w:bCs/>
      <w:sz w:val="20"/>
      <w:szCs w:val="20"/>
      <w:lang w:val="en-US" w:eastAsia="en-US" w:bidi="ar-SA"/>
    </w:rPr>
  </w:style>
  <w:style w:styleId="ListParagraph" w:type="paragraph">
    <w:name w:val="List Paragraph"/>
    <w:basedOn w:val="Normal"/>
    <w:uiPriority w:val="1"/>
    <w:qFormat/>
    <w:pPr/>
    <w:rPr>
      <w:lang w:val="en-US" w:eastAsia="en-US" w:bidi="ar-SA"/>
    </w:rPr>
  </w:style>
  <w:style w:styleId="TableParagraph" w:type="paragraph">
    <w:name w:val="Table Paragraph"/>
    <w:basedOn w:val="Normal"/>
    <w:uiPriority w:val="1"/>
    <w:qFormat/>
    <w:pPr/>
    <w:rPr>
      <w:rFonts w:ascii="Arial" w:hAnsi="Arial" w:eastAsia="Arial" w:cs="Arial"/>
      <w:lang w:val="en-US" w:eastAsia="en-US" w:bidi="ar-SA"/>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theme" Target="theme/theme1.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Application>Microsoft Office Word</Application>
  <DocSecurity>0</DocSecurity>
  <ScaleCrop>false</ScaleCrop>
  <LinksUpToDate>false</LinksUpToDate>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Anoop Vincent</dc:creator>
  <dc:title>Microsoft Word - 65</dc:title>
  <dcterms:created xsi:type="dcterms:W3CDTF">2020-09-15T12:14:52Z</dcterms:created>
  <dcterms:modified xsi:type="dcterms:W3CDTF">2020-09-15T12:14:52Z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2009-07-30T00:00:00Z</vt:filetime>
  </property>
  <property fmtid="{D5CDD505-2E9C-101B-9397-08002B2CF9AE}" pid="3" name="Creator">
    <vt:lpwstr>PScript5.dll Version 5.2</vt:lpwstr>
  </property>
  <property fmtid="{D5CDD505-2E9C-101B-9397-08002B2CF9AE}" pid="4" name="LastSaved">
    <vt:filetime>2020-09-15T00:00:00Z</vt:filetime>
  </property>
</Properties>
</file>