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12</w:t>
      </w:r>
    </w:p>
    <w:p>
      <w:pPr>
        <w:pStyle w:val="BodyText"/>
        <w:spacing w:before="5"/>
        <w:rPr>
          <w:b/>
          <w:sz w:val="17"/>
        </w:rPr>
      </w:pPr>
    </w:p>
    <w:p>
      <w:pPr>
        <w:spacing w:before="0"/>
        <w:ind w:left="120" w:right="0" w:firstLine="0"/>
        <w:jc w:val="left"/>
        <w:rPr>
          <w:b/>
          <w:sz w:val="20"/>
        </w:rPr>
      </w:pPr>
      <w:r>
        <w:rPr>
          <w:b/>
          <w:sz w:val="20"/>
        </w:rPr>
        <w:t>(Regulation No. 36)</w:t>
      </w:r>
    </w:p>
    <w:p>
      <w:pPr>
        <w:pStyle w:val="BodyText"/>
        <w:spacing w:before="3"/>
        <w:rPr>
          <w:b/>
          <w:sz w:val="17"/>
        </w:rPr>
      </w:pPr>
    </w:p>
    <w:p>
      <w:pPr>
        <w:pStyle w:val="BodyText"/>
        <w:tabs>
          <w:tab w:pos="3032" w:val="left" w:leader="none"/>
          <w:tab w:pos="3289" w:val="left" w:leader="none"/>
        </w:tabs>
        <w:spacing w:line="448" w:lineRule="auto"/>
        <w:ind w:left="120" w:right="5585"/>
      </w:pPr>
      <w:r>
        <w:rPr/>
        <w:t>In the Industrial</w:t>
      </w:r>
      <w:r>
        <w:rPr>
          <w:spacing w:val="-4"/>
        </w:rPr>
        <w:t> </w:t>
      </w:r>
      <w:r>
        <w:rPr/>
        <w:t>Court</w:t>
      </w:r>
      <w:r>
        <w:rPr>
          <w:spacing w:val="-1"/>
        </w:rPr>
        <w:t> </w:t>
      </w:r>
      <w:r>
        <w:rPr/>
        <w:t>at</w:t>
      </w:r>
      <w:r>
        <w:rPr>
          <w:w w:val="100"/>
          <w:u w:val="single"/>
        </w:rPr>
        <w:t> </w:t>
      </w:r>
      <w:r>
        <w:rPr>
          <w:u w:val="single"/>
        </w:rPr>
        <w:tab/>
      </w:r>
      <w:r>
        <w:rPr/>
        <w:t> Application</w:t>
      </w:r>
      <w:r>
        <w:rPr>
          <w:spacing w:val="-2"/>
        </w:rPr>
        <w:t> </w:t>
      </w:r>
      <w:r>
        <w:rPr/>
        <w:t>(MRTU)</w:t>
      </w:r>
      <w:r>
        <w:rPr>
          <w:spacing w:val="-1"/>
        </w:rPr>
        <w:t> </w:t>
      </w:r>
      <w:r>
        <w:rPr/>
        <w:t>No</w:t>
      </w:r>
      <w:r>
        <w:rPr>
          <w:u w:val="single"/>
        </w:rPr>
        <w:t> </w:t>
        <w:tab/>
        <w:tab/>
      </w:r>
      <w:r>
        <w:rPr/>
        <w:t>of</w:t>
      </w:r>
      <w:r>
        <w:rPr>
          <w:spacing w:val="-1"/>
        </w:rPr>
        <w:t> </w:t>
      </w:r>
      <w:r>
        <w:rPr/>
        <w:t>20</w:t>
      </w:r>
      <w:r>
        <w:rPr>
          <w:w w:val="100"/>
          <w:u w:val="single"/>
        </w:rPr>
        <w:t> </w:t>
      </w:r>
      <w:r>
        <w:rPr>
          <w:u w:val="single"/>
        </w:rPr>
        <w:t> </w:t>
      </w:r>
    </w:p>
    <w:p>
      <w:pPr>
        <w:pStyle w:val="BodyText"/>
        <w:tabs>
          <w:tab w:pos="3410" w:val="left" w:leader="none"/>
        </w:tabs>
        <w:ind w:left="120"/>
      </w:pPr>
      <w:r>
        <w:rPr/>
        <w:t>Complaint</w:t>
      </w:r>
      <w:r>
        <w:rPr>
          <w:spacing w:val="-1"/>
        </w:rPr>
        <w:t> </w:t>
      </w:r>
      <w:r>
        <w:rPr/>
        <w:t>(ULP)</w:t>
      </w:r>
      <w:r>
        <w:rPr>
          <w:spacing w:val="-1"/>
        </w:rPr>
        <w:t> </w:t>
      </w:r>
      <w:r>
        <w:rPr/>
        <w:t>No</w:t>
      </w:r>
      <w:r>
        <w:rPr>
          <w:u w:val="single"/>
        </w:rPr>
        <w:t> </w:t>
        <w:tab/>
      </w:r>
      <w:r>
        <w:rPr/>
        <w:t>of</w:t>
      </w:r>
      <w:r>
        <w:rPr>
          <w:spacing w:val="-2"/>
        </w:rPr>
        <w:t> </w:t>
      </w:r>
      <w:r>
        <w:rPr/>
        <w:t>20</w:t>
      </w:r>
      <w:r>
        <w:rPr>
          <w:w w:val="100"/>
          <w:u w:val="single"/>
        </w:rPr>
        <w:t> </w:t>
      </w:r>
      <w:r>
        <w:rPr>
          <w:u w:val="single"/>
        </w:rPr>
        <w:t> </w:t>
      </w:r>
    </w:p>
    <w:p>
      <w:pPr>
        <w:pStyle w:val="BodyText"/>
        <w:spacing w:before="8"/>
        <w:rPr>
          <w:sz w:val="21"/>
        </w:rPr>
      </w:pPr>
    </w:p>
    <w:p>
      <w:pPr>
        <w:pStyle w:val="BodyText"/>
        <w:tabs>
          <w:tab w:pos="7253" w:val="left" w:leader="none"/>
        </w:tabs>
        <w:spacing w:before="94"/>
        <w:ind w:left="120"/>
      </w:pPr>
      <w:r>
        <w:rPr/>
        <w:t>Name of</w:t>
      </w:r>
      <w:r>
        <w:rPr>
          <w:spacing w:val="-13"/>
        </w:rPr>
        <w:t> </w:t>
      </w:r>
      <w:r>
        <w:rPr/>
        <w:t>the</w:t>
      </w:r>
      <w:r>
        <w:rPr>
          <w:spacing w:val="-8"/>
        </w:rPr>
        <w:t> </w:t>
      </w:r>
      <w:r>
        <w:rPr/>
        <w:t>Applicant/Union/Complainant</w:t>
        <w:tab/>
        <w:t>Applicant</w:t>
      </w:r>
    </w:p>
    <w:p>
      <w:pPr>
        <w:pStyle w:val="BodyText"/>
        <w:spacing w:before="3"/>
        <w:rPr>
          <w:sz w:val="15"/>
        </w:rPr>
      </w:pPr>
      <w:r>
        <w:rPr/>
        <w:pict>
          <v:shape style="position:absolute;margin-left:428.760101pt;margin-top:11.113433pt;width:55.7pt;height:.1pt;mso-position-horizontal-relative:page;mso-position-vertical-relative:paragraph;z-index:-15728640;mso-wrap-distance-left:0;mso-wrap-distance-right:0" coordorigin="8575,222" coordsize="1114,0" path="m8575,222l9688,222e" filled="false" stroked="true" strokeweight=".631260pt" strokecolor="#000000">
            <v:path arrowok="t"/>
            <v:stroke dashstyle="solid"/>
            <w10:wrap type="topAndBottom"/>
          </v:shape>
        </w:pict>
      </w:r>
    </w:p>
    <w:p>
      <w:pPr>
        <w:pStyle w:val="BodyText"/>
        <w:spacing w:line="203" w:lineRule="exact"/>
        <w:ind w:right="1220"/>
        <w:jc w:val="right"/>
      </w:pPr>
      <w:r>
        <w:rPr/>
        <w:t>Complainant</w:t>
      </w:r>
    </w:p>
    <w:p>
      <w:pPr>
        <w:pStyle w:val="BodyText"/>
        <w:spacing w:before="2"/>
        <w:rPr>
          <w:sz w:val="23"/>
        </w:rPr>
      </w:pPr>
    </w:p>
    <w:p>
      <w:pPr>
        <w:pStyle w:val="Heading1"/>
        <w:spacing w:before="94"/>
      </w:pPr>
      <w:r>
        <w:rPr/>
        <w:t>versus</w:t>
      </w:r>
    </w:p>
    <w:p>
      <w:pPr>
        <w:pStyle w:val="BodyText"/>
        <w:rPr>
          <w:b/>
          <w:sz w:val="23"/>
        </w:rPr>
      </w:pPr>
    </w:p>
    <w:p>
      <w:pPr>
        <w:spacing w:after="0"/>
        <w:rPr>
          <w:sz w:val="23"/>
        </w:rPr>
        <w:sectPr>
          <w:type w:val="continuous"/>
          <w:pgSz w:w="12240" w:h="15840"/>
          <w:pgMar w:top="1460" w:bottom="280" w:left="1320" w:right="1320"/>
        </w:sectPr>
      </w:pPr>
    </w:p>
    <w:p>
      <w:pPr>
        <w:pStyle w:val="BodyText"/>
        <w:spacing w:before="3"/>
        <w:rPr>
          <w:b/>
          <w:sz w:val="28"/>
        </w:rPr>
      </w:pPr>
    </w:p>
    <w:p>
      <w:pPr>
        <w:pStyle w:val="BodyText"/>
        <w:ind w:left="120"/>
      </w:pPr>
      <w:r>
        <w:rPr/>
        <w:t>Name of the Opponent/Respondent</w:t>
      </w:r>
    </w:p>
    <w:p>
      <w:pPr>
        <w:pStyle w:val="BodyText"/>
        <w:spacing w:line="480" w:lineRule="auto" w:before="94"/>
        <w:ind w:left="120" w:right="1245"/>
      </w:pPr>
      <w:r>
        <w:rPr/>
        <w:br w:type="column"/>
      </w:r>
      <w:r>
        <w:rPr/>
        <w:t>Opponent Respondent</w:t>
      </w:r>
    </w:p>
    <w:p>
      <w:pPr>
        <w:spacing w:after="0" w:line="480" w:lineRule="auto"/>
        <w:sectPr>
          <w:type w:val="continuous"/>
          <w:pgSz w:w="12240" w:h="15840"/>
          <w:pgMar w:top="1460" w:bottom="280" w:left="1320" w:right="1320"/>
          <w:cols w:num="2" w:equalWidth="0">
            <w:col w:w="3317" w:space="3819"/>
            <w:col w:w="2464"/>
          </w:cols>
        </w:sectPr>
      </w:pPr>
    </w:p>
    <w:p>
      <w:pPr>
        <w:pStyle w:val="BodyText"/>
        <w:spacing w:before="115"/>
        <w:ind w:left="120"/>
      </w:pPr>
      <w:r>
        <w:rPr/>
        <w:pict>
          <v:line style="position:absolute;mso-position-horizontal-relative:page;mso-position-vertical-relative:paragraph;z-index:-15761920" from="428.760101pt,-23.392023pt" to="484.421204pt,-23.392023pt" stroked="true" strokeweight=".631260pt" strokecolor="#000000">
            <v:stroke dashstyle="solid"/>
            <w10:wrap type="none"/>
          </v:line>
        </w:pict>
      </w:r>
      <w:r>
        <w:rPr/>
        <w:t>In the matter of</w:t>
      </w:r>
    </w:p>
    <w:p>
      <w:pPr>
        <w:pStyle w:val="BodyText"/>
        <w:spacing w:before="6"/>
        <w:rPr>
          <w:sz w:val="17"/>
        </w:rPr>
      </w:pPr>
    </w:p>
    <w:p>
      <w:pPr>
        <w:pStyle w:val="Heading1"/>
      </w:pPr>
      <w:r>
        <w:rPr/>
        <w:t>Commission</w:t>
      </w:r>
    </w:p>
    <w:p>
      <w:pPr>
        <w:pStyle w:val="BodyText"/>
        <w:spacing w:before="3"/>
        <w:rPr>
          <w:b/>
          <w:sz w:val="17"/>
        </w:rPr>
      </w:pPr>
    </w:p>
    <w:p>
      <w:pPr>
        <w:pStyle w:val="BodyText"/>
        <w:tabs>
          <w:tab w:pos="2344" w:val="left" w:leader="none"/>
          <w:tab w:pos="3566" w:val="left" w:leader="none"/>
          <w:tab w:pos="4110" w:val="left" w:leader="none"/>
        </w:tabs>
        <w:ind w:left="119" w:right="115"/>
        <w:jc w:val="both"/>
      </w:pPr>
      <w:r>
        <w:rPr/>
        <w:t>Whereas  the  Court  was   pleased   to   direct   the   issue   of   a   Commission   by   an   order   made on</w:t>
      </w:r>
      <w:r>
        <w:rPr>
          <w:u w:val="single"/>
        </w:rPr>
        <w:t> </w:t>
        <w:tab/>
      </w:r>
      <w:r>
        <w:rPr/>
        <w:t>for examination of witnesses and for inquiry and/or investigation of the matter mentioned in the Schedule overleaf, know you that pursuant to the said order you are hereby appointed Commissioner for that purpose wherein you are authorised and empowered to command the attendance of the said witnesses and to cause such witnesses to be examined, cross- examined and re-examined upon oath or on' solemn affirmation as the case may be and to record their evidence in writing in the presence of the parties or their Counsel. Advocates, Attorneys, Pleaders or representative and to conduct inquiry  and</w:t>
      </w:r>
      <w:r>
        <w:rPr>
          <w:spacing w:val="8"/>
        </w:rPr>
        <w:t> </w:t>
      </w:r>
      <w:r>
        <w:rPr/>
        <w:t>investigation</w:t>
      </w:r>
      <w:r>
        <w:rPr>
          <w:spacing w:val="31"/>
        </w:rPr>
        <w:t> </w:t>
      </w:r>
      <w:r>
        <w:rPr/>
        <w:t>at</w:t>
      </w:r>
      <w:r>
        <w:rPr>
          <w:u w:val="single"/>
        </w:rPr>
        <w:t> </w:t>
        <w:tab/>
      </w:r>
      <w:r>
        <w:rPr/>
        <w:t>and you are further directed to send the complete record of the evidence, report of your inquiry and investigation under your hand and seal together with this commission to the undersigned not</w:t>
      </w:r>
      <w:r>
        <w:rPr>
          <w:spacing w:val="-15"/>
        </w:rPr>
        <w:t> </w:t>
      </w:r>
      <w:r>
        <w:rPr/>
        <w:t>later</w:t>
      </w:r>
      <w:r>
        <w:rPr>
          <w:spacing w:val="-4"/>
        </w:rPr>
        <w:t> </w:t>
      </w:r>
      <w:r>
        <w:rPr/>
        <w:t>than</w:t>
      </w:r>
      <w:r>
        <w:rPr>
          <w:u w:val="single"/>
        </w:rPr>
        <w:t> </w:t>
        <w:tab/>
        <w:tab/>
      </w:r>
      <w:r>
        <w:rPr/>
        <w:t>.</w:t>
      </w:r>
    </w:p>
    <w:p>
      <w:pPr>
        <w:pStyle w:val="BodyText"/>
        <w:spacing w:before="6"/>
        <w:rPr>
          <w:sz w:val="17"/>
        </w:rPr>
      </w:pPr>
    </w:p>
    <w:p>
      <w:pPr>
        <w:pStyle w:val="BodyText"/>
        <w:ind w:left="120"/>
        <w:jc w:val="both"/>
      </w:pPr>
      <w:r>
        <w:rPr/>
        <w:t>Given under my hand and seal of the Court.</w:t>
      </w:r>
    </w:p>
    <w:p>
      <w:pPr>
        <w:pStyle w:val="BodyText"/>
        <w:spacing w:before="4"/>
        <w:rPr>
          <w:sz w:val="17"/>
        </w:rPr>
      </w:pPr>
    </w:p>
    <w:p>
      <w:pPr>
        <w:pStyle w:val="BodyText"/>
        <w:tabs>
          <w:tab w:pos="2467" w:val="left" w:leader="none"/>
          <w:tab w:pos="3833" w:val="left" w:leader="none"/>
          <w:tab w:pos="5100" w:val="left" w:leader="none"/>
        </w:tabs>
        <w:ind w:left="120"/>
        <w:jc w:val="both"/>
      </w:pPr>
      <w:r>
        <w:rPr/>
        <w:t>Bombay,</w:t>
      </w:r>
      <w:r>
        <w:rPr>
          <w:spacing w:val="-4"/>
        </w:rPr>
        <w:t> </w:t>
      </w:r>
      <w:r>
        <w:rPr/>
        <w:t>dated</w:t>
      </w:r>
      <w:r>
        <w:rPr>
          <w:u w:val="single"/>
        </w:rPr>
        <w:t> </w:t>
        <w:tab/>
      </w:r>
      <w:r>
        <w:rPr/>
        <w:t>this</w:t>
      </w:r>
      <w:r>
        <w:rPr>
          <w:u w:val="single"/>
        </w:rPr>
        <w:t> </w:t>
        <w:tab/>
      </w:r>
      <w:r>
        <w:rPr/>
        <w:t>day</w:t>
      </w:r>
      <w:r>
        <w:rPr>
          <w:spacing w:val="-2"/>
        </w:rPr>
        <w:t> </w:t>
      </w:r>
      <w:r>
        <w:rPr/>
        <w:t>of</w:t>
      </w:r>
      <w:r>
        <w:rPr>
          <w:u w:val="single"/>
        </w:rPr>
        <w:t> </w:t>
        <w:tab/>
      </w:r>
      <w:r>
        <w:rPr/>
        <w:t>19.</w:t>
      </w:r>
    </w:p>
    <w:p>
      <w:pPr>
        <w:pStyle w:val="BodyText"/>
        <w:spacing w:before="2"/>
        <w:rPr>
          <w:sz w:val="14"/>
        </w:rPr>
      </w:pPr>
      <w:r>
        <w:rPr/>
        <w:pict>
          <v:group style="position:absolute;margin-left:68.639999pt;margin-top:10.135122pt;width:38.65pt;height:34.050pt;mso-position-horizontal-relative:page;mso-position-vertical-relative:paragraph;z-index:-15727616;mso-wrap-distance-left:0;mso-wrap-distance-right:0" coordorigin="1373,203" coordsize="773,681">
            <v:shape style="position:absolute;left:1372;top:202;width:773;height:15" coordorigin="1373,203" coordsize="773,15" path="m2146,203l2131,203,1373,203,1373,217,2131,217,2146,217,2146,203xe" filled="true" fillcolor="#ece9d8" stroked="false">
              <v:path arrowok="t"/>
              <v:fill type="solid"/>
            </v:shape>
            <v:shape style="position:absolute;left:1410;top:248;width:699;height:15" coordorigin="1410,248" coordsize="699,15" path="m2108,248l2094,248,1410,248,1410,263,2094,263,2108,263,2108,248xe" filled="true" fillcolor="#aca89a" stroked="false">
              <v:path arrowok="t"/>
              <v:fill type="solid"/>
            </v:shape>
            <v:rect style="position:absolute;left:1410;top:823;width:699;height:15" filled="true" fillcolor="#ece9d8" stroked="false">
              <v:fill type="solid"/>
            </v:rect>
            <v:rect style="position:absolute;left:1410;top:248;width:15;height:590" filled="true" fillcolor="#aca89a" stroked="false">
              <v:fill type="solid"/>
            </v:rect>
            <v:shape style="position:absolute;left:1372;top:202;width:736;height:681" coordorigin="1373,203" coordsize="736,681" path="m1387,203l1373,203,1373,883,1387,883,1387,203xm2108,248l2094,248,2094,838,2108,838,2108,248xe" filled="true" fillcolor="#ece9d8" stroked="false">
              <v:path arrowok="t"/>
              <v:fill type="solid"/>
            </v:shape>
            <v:shape style="position:absolute;left:1372;top:202;width:773;height:681" coordorigin="1373,203" coordsize="773,681" path="m2146,203l2131,203,2131,869,1373,869,1373,883,2131,883,2146,883,2146,203xe" filled="true" fillcolor="#aca89a" stroked="false">
              <v:path arrowok="t"/>
              <v:fill type="solid"/>
            </v:shape>
            <v:shapetype id="_x0000_t202" o:spt="202" coordsize="21600,21600" path="m,l,21600r21600,l21600,xe">
              <v:stroke joinstyle="miter"/>
              <v:path gradientshapeok="t" o:connecttype="rect"/>
            </v:shapetype>
            <v:shape style="position:absolute;left:1424;top:262;width:670;height:561" type="#_x0000_t202" filled="false" stroked="false">
              <v:textbox inset="0,0,0,0">
                <w:txbxContent>
                  <w:p>
                    <w:pPr>
                      <w:spacing w:before="112"/>
                      <w:ind w:left="15" w:right="0" w:firstLine="0"/>
                      <w:jc w:val="left"/>
                      <w:rPr>
                        <w:sz w:val="20"/>
                      </w:rPr>
                    </w:pPr>
                    <w:r>
                      <w:rPr>
                        <w:sz w:val="20"/>
                      </w:rPr>
                      <w:t>Seal</w:t>
                    </w:r>
                  </w:p>
                </w:txbxContent>
              </v:textbox>
              <w10:wrap type="none"/>
            </v:shape>
            <w10:wrap type="topAndBottom"/>
          </v:group>
        </w:pict>
      </w:r>
    </w:p>
    <w:p>
      <w:pPr>
        <w:pStyle w:val="BodyText"/>
        <w:spacing w:before="68"/>
        <w:ind w:left="120"/>
      </w:pPr>
      <w:r>
        <w:rPr/>
        <w:t>Signature of Officer authorised to sign.</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- 76</dc:title>
  <dcterms:created xsi:type="dcterms:W3CDTF">2020-09-15T12:15:04Z</dcterms:created>
  <dcterms:modified xsi:type="dcterms:W3CDTF">2020-09-15T12:15:04Z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