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 w:line="307" w:lineRule="auto"/>
      </w:pPr>
      <w:r>
        <w:rPr>
          <w:rFonts w:ascii="Inter" w:hAnsi="Inter"/>
          <w:b w:val="0"/>
          <w:i w:val="0"/>
          <w:color w:val="0A2540"/>
          <w:sz w:val="22"/>
        </w:rPr>
      </w:r>
    </w:p>
    <w:p>
      <w:pPr>
        <w:spacing w:after="40"/>
      </w:pPr>
      <w:r>
        <w:rPr>
          <w:sz w:val="4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635BFF"/>
          </w:tcPr>
          <w:p>
            <w:r/>
            <w:r>
              <w:rPr>
                <w:sz w:val="16"/>
              </w:rPr>
              <w:t xml:space="preserve"> </w:t>
            </w:r>
          </w:p>
        </w:tc>
      </w:tr>
    </w:tbl>
    <w:p>
      <w:pPr>
        <w:spacing w:after="280" w:line="307" w:lineRule="auto"/>
      </w:pPr>
      <w:r>
        <w:rPr>
          <w:rFonts w:ascii="Inter" w:hAnsi="Inter"/>
          <w:b w:val="0"/>
          <w:i w:val="0"/>
          <w:color w:val="0A2540"/>
          <w:sz w:val="22"/>
        </w:rPr>
      </w:r>
    </w:p>
    <w:p>
      <w:pPr>
        <w:spacing w:after="160" w:line="264" w:lineRule="auto"/>
      </w:pPr>
      <w:r>
        <w:rPr>
          <w:rFonts w:ascii="Inter" w:hAnsi="Inter"/>
          <w:b/>
          <w:i w:val="0"/>
          <w:color w:val="0A2540"/>
          <w:sz w:val="60"/>
        </w:rPr>
        <w:t>Анализ рынка доставки еды</w:t>
      </w:r>
    </w:p>
    <w:p>
      <w:pPr>
        <w:spacing w:after="400" w:line="307" w:lineRule="auto"/>
      </w:pPr>
      <w:r>
        <w:rPr>
          <w:rFonts w:ascii="Inter" w:hAnsi="Inter"/>
          <w:b w:val="0"/>
          <w:i w:val="0"/>
          <w:color w:val="425466"/>
          <w:sz w:val="28"/>
        </w:rPr>
        <w:t>Казань, 2026 год · исследование и рекомендации</w:t>
      </w:r>
    </w:p>
    <w:p>
      <w:pPr>
        <w:spacing w:after="140" w:line="307" w:lineRule="auto"/>
      </w:pPr>
      <w:r>
        <w:rPr>
          <w:rFonts w:ascii="Inter" w:hAnsi="Inter"/>
          <w:b w:val="0"/>
          <w:i w:val="0"/>
          <w:color w:val="425466"/>
          <w:sz w:val="22"/>
        </w:rPr>
        <w:t>ChatStudio · октябрь 2026</w:t>
      </w:r>
    </w:p>
    <w:p>
      <w:r>
        <w:br w:type="page"/>
      </w:r>
    </w:p>
    <w:p>
      <w:pPr>
        <w:pStyle w:val="Heading1"/>
        <w:spacing w:before="320"/>
      </w:pPr>
      <w:r>
        <w:t>Введение</w:t>
      </w:r>
    </w:p>
    <w:p>
      <w:pPr>
        <w:spacing w:after="140" w:line="307" w:lineRule="auto"/>
      </w:pPr>
      <w:r>
        <w:rPr>
          <w:rFonts w:ascii="Inter" w:hAnsi="Inter"/>
          <w:b w:val="0"/>
          <w:i w:val="0"/>
          <w:color w:val="0A2540"/>
          <w:sz w:val="22"/>
        </w:rPr>
        <w:t>Рынок доставки еды в Казани вырос до 48,1 млрд рублей за год. Ниже — основные наблюдения и цифры исследования.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D6F8FF"/>
          </w:tcPr>
          <w:p>
            <w:pPr>
              <w:spacing w:before="120" w:after="120"/>
            </w:pPr>
            <w:r/>
            <w:r>
              <w:rPr>
                <w:rFonts w:ascii="Inter" w:hAnsi="Inter"/>
                <w:b/>
                <w:color w:val="635BFF"/>
                <w:sz w:val="22"/>
              </w:rPr>
              <w:t>Ключевой вывод: рынок растёт быстрее доходов населения, ниша не насыщена.</w:t>
            </w:r>
          </w:p>
        </w:tc>
      </w:tr>
    </w:tbl>
    <w:p>
      <w:pPr>
        <w:pStyle w:val="Heading2"/>
        <w:spacing w:before="240"/>
      </w:pPr>
      <w:r>
        <w:t>Динамика рынка</w:t>
      </w:r>
    </w:p>
    <w:p>
      <w:pPr>
        <w:pStyle w:val="ListBullet"/>
        <w:spacing w:after="80"/>
      </w:pPr>
      <w:r>
        <w:rPr>
          <w:rFonts w:ascii="Inter" w:hAnsi="Inter"/>
          <w:sz w:val="22"/>
        </w:rPr>
        <w:t>2022 — 18,2 млрд ₽</w:t>
      </w:r>
    </w:p>
    <w:p>
      <w:pPr>
        <w:pStyle w:val="ListBullet"/>
        <w:spacing w:after="80"/>
      </w:pPr>
      <w:r>
        <w:rPr>
          <w:rFonts w:ascii="Inter" w:hAnsi="Inter"/>
          <w:sz w:val="22"/>
        </w:rPr>
        <w:t>2024 — 31,4 млрд ₽</w:t>
      </w:r>
    </w:p>
    <w:p>
      <w:pPr>
        <w:pStyle w:val="ListBullet"/>
        <w:spacing w:after="80"/>
      </w:pPr>
      <w:r>
        <w:rPr>
          <w:rFonts w:ascii="Inter" w:hAnsi="Inter"/>
          <w:sz w:val="22"/>
        </w:rPr>
        <w:t>2026 — 48,1 млрд ₽</w:t>
      </w:r>
    </w:p>
    <w:p>
      <w:r>
        <w:drawing>
          <wp:inline xmlns:a="http://schemas.openxmlformats.org/drawingml/2006/main" xmlns:pic="http://schemas.openxmlformats.org/drawingml/2006/picture">
            <wp:extent cx="5577840" cy="3111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11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07" w:lineRule="auto"/>
        <w:jc w:val="center"/>
      </w:pPr>
      <w:r>
        <w:rPr>
          <w:rFonts w:ascii="Inter" w:hAnsi="Inter"/>
          <w:b w:val="0"/>
          <w:i w:val="0"/>
          <w:color w:val="425466"/>
          <w:sz w:val="19"/>
        </w:rPr>
        <w:t>Рисунок 1. Объём рынка</w:t>
      </w:r>
    </w:p>
    <w:p>
      <w:pPr>
        <w:pStyle w:val="Heading2"/>
        <w:spacing w:before="240"/>
      </w:pPr>
      <w:r>
        <w:t>Игроки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635BFF"/>
          </w:tcPr>
          <w:p>
            <w:r/>
            <w:r>
              <w:rPr>
                <w:rFonts w:ascii="Inter" w:hAnsi="Inter"/>
                <w:b/>
                <w:color w:val="FFFFFF"/>
                <w:sz w:val="21"/>
              </w:rPr>
              <w:t>Игрок</w:t>
            </w:r>
          </w:p>
        </w:tc>
        <w:tc>
          <w:tcPr>
            <w:tcW w:type="dxa" w:w="2340"/>
            <w:shd w:val="clear" w:fill="635BFF"/>
          </w:tcPr>
          <w:p>
            <w:r/>
            <w:r>
              <w:rPr>
                <w:rFonts w:ascii="Inter" w:hAnsi="Inter"/>
                <w:b/>
                <w:color w:val="FFFFFF"/>
                <w:sz w:val="21"/>
              </w:rPr>
              <w:t>Доля</w:t>
            </w:r>
          </w:p>
        </w:tc>
        <w:tc>
          <w:tcPr>
            <w:tcW w:type="dxa" w:w="2340"/>
            <w:shd w:val="clear" w:fill="635BFF"/>
          </w:tcPr>
          <w:p>
            <w:r/>
            <w:r>
              <w:rPr>
                <w:rFonts w:ascii="Inter" w:hAnsi="Inter"/>
                <w:b/>
                <w:color w:val="FFFFFF"/>
                <w:sz w:val="21"/>
              </w:rPr>
              <w:t>Заказы, млн</w:t>
            </w:r>
          </w:p>
        </w:tc>
        <w:tc>
          <w:tcPr>
            <w:tcW w:type="dxa" w:w="2340"/>
            <w:shd w:val="clear" w:fill="635BFF"/>
          </w:tcPr>
          <w:p>
            <w:r/>
            <w:r>
              <w:rPr>
                <w:rFonts w:ascii="Inter" w:hAnsi="Inter"/>
                <w:b/>
                <w:color w:val="FFFFFF"/>
                <w:sz w:val="21"/>
              </w:rPr>
              <w:t>Рост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Inter" w:hAnsi="Inter"/>
                <w:sz w:val="21"/>
              </w:rPr>
              <w:t>Купер</w:t>
            </w:r>
          </w:p>
        </w:tc>
        <w:tc>
          <w:tcPr>
            <w:tcW w:type="dxa" w:w="2340"/>
          </w:tcPr>
          <w:p>
            <w:r/>
            <w:r>
              <w:rPr>
                <w:rFonts w:ascii="Inter" w:hAnsi="Inter"/>
                <w:sz w:val="21"/>
              </w:rPr>
              <w:t>34%</w:t>
            </w:r>
          </w:p>
        </w:tc>
        <w:tc>
          <w:tcPr>
            <w:tcW w:type="dxa" w:w="2340"/>
          </w:tcPr>
          <w:p>
            <w:r/>
            <w:r>
              <w:rPr>
                <w:rFonts w:ascii="Inter" w:hAnsi="Inter"/>
                <w:sz w:val="21"/>
              </w:rPr>
              <w:t>0,82</w:t>
            </w:r>
          </w:p>
        </w:tc>
        <w:tc>
          <w:tcPr>
            <w:tcW w:type="dxa" w:w="2340"/>
          </w:tcPr>
          <w:p>
            <w:r/>
            <w:r>
              <w:rPr>
                <w:rFonts w:ascii="Inter" w:hAnsi="Inter"/>
                <w:sz w:val="21"/>
              </w:rPr>
              <w:t>+18%</w:t>
            </w:r>
          </w:p>
        </w:tc>
      </w:tr>
      <w:tr>
        <w:tc>
          <w:tcPr>
            <w:tcW w:type="dxa" w:w="2340"/>
            <w:shd w:val="clear" w:fill="F8FAFD"/>
          </w:tcPr>
          <w:p>
            <w:r/>
            <w:r>
              <w:rPr>
                <w:rFonts w:ascii="Inter" w:hAnsi="Inter"/>
                <w:sz w:val="21"/>
              </w:rPr>
              <w:t>Яндекс Еда</w:t>
            </w:r>
          </w:p>
        </w:tc>
        <w:tc>
          <w:tcPr>
            <w:tcW w:type="dxa" w:w="2340"/>
            <w:shd w:val="clear" w:fill="F8FAFD"/>
          </w:tcPr>
          <w:p>
            <w:r/>
            <w:r>
              <w:rPr>
                <w:rFonts w:ascii="Inter" w:hAnsi="Inter"/>
                <w:sz w:val="21"/>
              </w:rPr>
              <w:t>28%</w:t>
            </w:r>
          </w:p>
        </w:tc>
        <w:tc>
          <w:tcPr>
            <w:tcW w:type="dxa" w:w="2340"/>
            <w:shd w:val="clear" w:fill="F8FAFD"/>
          </w:tcPr>
          <w:p>
            <w:r/>
            <w:r>
              <w:rPr>
                <w:rFonts w:ascii="Inter" w:hAnsi="Inter"/>
                <w:sz w:val="21"/>
              </w:rPr>
              <w:t>0,67</w:t>
            </w:r>
          </w:p>
        </w:tc>
        <w:tc>
          <w:tcPr>
            <w:tcW w:type="dxa" w:w="2340"/>
            <w:shd w:val="clear" w:fill="F8FAFD"/>
          </w:tcPr>
          <w:p>
            <w:r/>
            <w:r>
              <w:rPr>
                <w:rFonts w:ascii="Inter" w:hAnsi="Inter"/>
                <w:sz w:val="21"/>
              </w:rPr>
              <w:t>+14%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Inter" w:hAnsi="Inter"/>
                <w:sz w:val="21"/>
              </w:rPr>
              <w:t>Самокат</w:t>
            </w:r>
          </w:p>
        </w:tc>
        <w:tc>
          <w:tcPr>
            <w:tcW w:type="dxa" w:w="2340"/>
          </w:tcPr>
          <w:p>
            <w:r/>
            <w:r>
              <w:rPr>
                <w:rFonts w:ascii="Inter" w:hAnsi="Inter"/>
                <w:sz w:val="21"/>
              </w:rPr>
              <w:t>17%</w:t>
            </w:r>
          </w:p>
        </w:tc>
        <w:tc>
          <w:tcPr>
            <w:tcW w:type="dxa" w:w="2340"/>
          </w:tcPr>
          <w:p>
            <w:r/>
            <w:r>
              <w:rPr>
                <w:rFonts w:ascii="Inter" w:hAnsi="Inter"/>
                <w:sz w:val="21"/>
              </w:rPr>
              <w:t>0,41</w:t>
            </w:r>
          </w:p>
        </w:tc>
        <w:tc>
          <w:tcPr>
            <w:tcW w:type="dxa" w:w="2340"/>
          </w:tcPr>
          <w:p>
            <w:r/>
            <w:r>
              <w:rPr>
                <w:rFonts w:ascii="Inter" w:hAnsi="Inter"/>
                <w:sz w:val="21"/>
              </w:rPr>
              <w:t>+31%</w:t>
            </w:r>
          </w:p>
        </w:tc>
      </w:tr>
    </w:tbl>
    <w:p>
      <w:pPr>
        <w:spacing w:after="120" w:line="307" w:lineRule="auto"/>
      </w:pPr>
      <w:r>
        <w:rPr>
          <w:rFonts w:ascii="Inter" w:hAnsi="Inter"/>
          <w:b w:val="0"/>
          <w:i w:val="0"/>
          <w:color w:val="0A2540"/>
          <w:sz w:val="22"/>
        </w:rPr>
      </w:r>
    </w:p>
    <w:p>
      <w:pPr>
        <w:pStyle w:val="Heading2"/>
        <w:spacing w:before="240"/>
      </w:pPr>
      <w:r>
        <w:t>Рекомендации</w:t>
      </w:r>
    </w:p>
    <w:p>
      <w:pPr>
        <w:pStyle w:val="ListNumber"/>
        <w:spacing w:after="80"/>
      </w:pPr>
      <w:r>
        <w:rPr>
          <w:rFonts w:ascii="Inter" w:hAnsi="Inter"/>
          <w:sz w:val="22"/>
        </w:rPr>
        <w:t>Запустить доставку за 30 минут в 5 районах</w:t>
      </w:r>
    </w:p>
    <w:p>
      <w:pPr>
        <w:pStyle w:val="ListNumber"/>
        <w:spacing w:after="80"/>
      </w:pPr>
      <w:r>
        <w:rPr>
          <w:rFonts w:ascii="Inter" w:hAnsi="Inter"/>
          <w:sz w:val="22"/>
        </w:rPr>
        <w:t>Снизить зависимость от промо-акций</w:t>
      </w:r>
    </w:p>
    <w:p>
      <w:pPr>
        <w:pStyle w:val="ListNumber"/>
        <w:spacing w:after="80"/>
      </w:pPr>
      <w:r>
        <w:rPr>
          <w:rFonts w:ascii="Inter" w:hAnsi="Inter"/>
          <w:sz w:val="22"/>
        </w:rPr>
        <w:t>Развивать программу лояльности</w:t>
      </w:r>
    </w:p>
    <w:sectPr w:rsidR="00FC693F" w:rsidRPr="0006063C" w:rsidSect="0003461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Inter" w:hAnsi="Inter"/>
        <w:color w:val="425466"/>
        <w:sz w:val="17"/>
      </w:rPr>
      <w:t xml:space="preserve">Анализ рынка доставки еды 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0A25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635BF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635BF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635BF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