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72"/>
        </w:rPr>
        <w:t>SAROS</w:t>
      </w:r>
    </w:p>
    <w:p>
      <w:pPr>
        <w:jc w:val="center"/>
      </w:pPr>
      <w:r>
        <w:rPr>
          <w:b/>
          <w:color w:val="003366"/>
          <w:sz w:val="40"/>
        </w:rPr>
        <w:t>Module Anonymisation</w:t>
      </w:r>
    </w:p>
    <w:p/>
    <w:p>
      <w:pPr>
        <w:jc w:val="center"/>
      </w:pPr>
      <w:r>
        <w:rPr>
          <w:color w:val="646464"/>
          <w:sz w:val="28"/>
        </w:rPr>
        <w:t>Documentation technique</w:t>
      </w:r>
    </w:p>
    <w:p/>
    <w:p>
      <w:pPr>
        <w:jc w:val="center"/>
      </w:pPr>
      <w:r>
        <w:rPr>
          <w:color w:val="787878"/>
          <w:sz w:val="22"/>
        </w:rPr>
        <w:t>Version 0.1.0 — Août 2026</w:t>
      </w:r>
    </w:p>
    <w:p>
      <w:r>
        <w:br w:type="page"/>
      </w:r>
    </w:p>
    <w:p>
      <w:pPr>
        <w:pStyle w:val="Heading1"/>
      </w:pPr>
      <w:r>
        <w:t>Table des matières</w:t>
      </w:r>
    </w:p>
    <w:p>
      <w:pPr>
        <w:spacing w:before="20" w:after="20"/>
      </w:pPr>
      <w:r>
        <w:t>1. Vue d'ensemble</w:t>
      </w:r>
    </w:p>
    <w:p>
      <w:pPr>
        <w:spacing w:before="20" w:after="20"/>
      </w:pPr>
      <w:r>
        <w:t>2. Architecture du module</w:t>
      </w:r>
    </w:p>
    <w:p>
      <w:pPr>
        <w:spacing w:before="20" w:after="20"/>
      </w:pPr>
      <w:r>
        <w:t>3. Les deux fonctions du module</w:t>
      </w:r>
    </w:p>
    <w:p>
      <w:pPr>
        <w:spacing w:before="20" w:after="20"/>
      </w:pPr>
      <w:r>
        <w:t>4. Flux détaillé — Fonction 1 : Anonymisation</w:t>
      </w:r>
    </w:p>
    <w:p>
      <w:pPr>
        <w:spacing w:before="20" w:after="20"/>
        <w:ind w:left="567"/>
      </w:pPr>
      <w:r>
        <w:t xml:space="preserve">   4.1. Étape 1 : Détection (POST /anonymisation/detect)</w:t>
      </w:r>
    </w:p>
    <w:p>
      <w:pPr>
        <w:spacing w:before="20" w:after="20"/>
        <w:ind w:left="567"/>
      </w:pPr>
      <w:r>
        <w:t xml:space="preserve">   4.2. Étape 2 : Exécution (POST /anonymisation/execute)</w:t>
      </w:r>
    </w:p>
    <w:p>
      <w:pPr>
        <w:spacing w:before="20" w:after="20"/>
        <w:ind w:left="567"/>
      </w:pPr>
      <w:r>
        <w:t xml:space="preserve">   4.3. Étape 3 : Dé-anonymisation (POST /anonymisation/deanonymize)</w:t>
      </w:r>
    </w:p>
    <w:p>
      <w:pPr>
        <w:spacing w:before="20" w:after="20"/>
      </w:pPr>
      <w:r>
        <w:t>5. Flux détaillé — Fonction 2 : Envoi LLM externe</w:t>
      </w:r>
    </w:p>
    <w:p>
      <w:pPr>
        <w:spacing w:before="20" w:after="20"/>
        <w:ind w:left="567"/>
      </w:pPr>
      <w:r>
        <w:t xml:space="preserve">   5.1. Endpoint POST /llm/send</w:t>
      </w:r>
    </w:p>
    <w:p>
      <w:pPr>
        <w:spacing w:before="20" w:after="20"/>
        <w:ind w:left="567"/>
      </w:pPr>
      <w:r>
        <w:t xml:space="preserve">   5.2. Providers supportés</w:t>
      </w:r>
    </w:p>
    <w:p>
      <w:pPr>
        <w:spacing w:before="20" w:after="20"/>
      </w:pPr>
      <w:r>
        <w:t>6. Détection hybride (Regex + LLM local)</w:t>
      </w:r>
    </w:p>
    <w:p>
      <w:pPr>
        <w:spacing w:before="20" w:after="20"/>
        <w:ind w:left="567"/>
      </w:pPr>
      <w:r>
        <w:t xml:space="preserve">   6.1. Couche 1 : Détection par patterns (regex)</w:t>
      </w:r>
    </w:p>
    <w:p>
      <w:pPr>
        <w:spacing w:before="20" w:after="20"/>
        <w:ind w:left="567"/>
      </w:pPr>
      <w:r>
        <w:t xml:space="preserve">   6.2. Couche 2 : Détection par LLM local (Ollama)</w:t>
      </w:r>
    </w:p>
    <w:p>
      <w:pPr>
        <w:spacing w:before="20" w:after="20"/>
        <w:ind w:left="567"/>
      </w:pPr>
      <w:r>
        <w:t xml:space="preserve">   6.3. Fusion des résultats</w:t>
      </w:r>
    </w:p>
    <w:p>
      <w:pPr>
        <w:spacing w:before="20" w:after="20"/>
      </w:pPr>
      <w:r>
        <w:t>7. Stratégies d'anonymisation</w:t>
      </w:r>
    </w:p>
    <w:p>
      <w:pPr>
        <w:spacing w:before="20" w:after="20"/>
        <w:ind w:left="567"/>
      </w:pPr>
      <w:r>
        <w:t xml:space="preserve">   7.1. Placeholder</w:t>
      </w:r>
    </w:p>
    <w:p>
      <w:pPr>
        <w:spacing w:before="20" w:after="20"/>
        <w:ind w:left="567"/>
      </w:pPr>
      <w:r>
        <w:t xml:space="preserve">   7.2. Chiffrement (Fernet)</w:t>
      </w:r>
    </w:p>
    <w:p>
      <w:pPr>
        <w:spacing w:before="20" w:after="20"/>
      </w:pPr>
      <w:r>
        <w:t>8. Référentiel RGPD</w:t>
      </w:r>
    </w:p>
    <w:p>
      <w:pPr>
        <w:spacing w:before="20" w:after="20"/>
      </w:pPr>
      <w:r>
        <w:t>9. Formats de fichiers supportés</w:t>
      </w:r>
    </w:p>
    <w:p>
      <w:pPr>
        <w:spacing w:before="20" w:after="20"/>
      </w:pPr>
      <w:r>
        <w:t>10. Configuration</w:t>
      </w:r>
    </w:p>
    <w:p>
      <w:pPr>
        <w:spacing w:before="20" w:after="20"/>
      </w:pPr>
      <w:r>
        <w:t>11. Structure des fichiers</w:t>
      </w:r>
    </w:p>
    <w:p>
      <w:pPr>
        <w:spacing w:before="20" w:after="20"/>
      </w:pPr>
      <w:r>
        <w:t>12. Contrats d'API (JSON)</w:t>
      </w:r>
    </w:p>
    <w:p>
      <w:pPr>
        <w:spacing w:before="20" w:after="20"/>
      </w:pPr>
      <w:r>
        <w:t>13. Exemple de flux complet</w:t>
      </w:r>
    </w:p>
    <w:p>
      <w:r>
        <w:br w:type="page"/>
      </w:r>
    </w:p>
    <w:p>
      <w:pPr>
        <w:pStyle w:val="Heading1"/>
      </w:pPr>
      <w:r>
        <w:t>1. Vue d'ensemble</w:t>
      </w:r>
    </w:p>
    <w:p>
      <w:r>
        <w:t>Le module Anonymisation est un composant de l'application Saros. Il a pour rôle de protéger les données personnelles conformément au RGPD avant tout envoi vers un service externe (LLM, API tierce, etc.).</w:t>
      </w:r>
    </w:p>
    <w:p>
      <w:r>
        <w:t>Le module est exposé sous forme d'API REST (FastAPI) et offre deux fonctions indépendantes :</w:t>
      </w:r>
    </w:p>
    <w:p>
      <w:pPr>
        <w:pStyle w:val="ListBullet"/>
      </w:pPr>
      <w:r>
        <w:rPr>
          <w:b/>
        </w:rPr>
        <w:t xml:space="preserve">Fonction 1 — Anonymisation : </w:t>
      </w:r>
      <w:r>
        <w:t>Détecte, anonymise et dé-anonymise les données personnelles.</w:t>
      </w:r>
    </w:p>
    <w:p>
      <w:pPr>
        <w:pStyle w:val="ListBullet"/>
      </w:pPr>
      <w:r>
        <w:rPr>
          <w:b/>
        </w:rPr>
        <w:t xml:space="preserve">Fonction 2 — Envoi LLM externe : </w:t>
      </w:r>
      <w:r>
        <w:t>Envoie du contenu à un LLM externe (Claude, GPT, etc.) et retourne la réponse brute.</w:t>
      </w:r>
    </w:p>
    <w:p>
      <w:r>
        <w:t>Ces deux fonctions sont découplées : la fonction d'envoi LLM ne possède aucune connaissance de l'anonymisation. Elle peut être appelée par n'importe quel module de l'application. La dé-anonymisation est exclusivement gérée par la fonction Anonymisation.</w:t>
      </w:r>
    </w:p>
    <w:p>
      <w:pPr>
        <w:pStyle w:val="Heading1"/>
      </w:pPr>
      <w:r>
        <w:t>2. Architecture du module</w:t>
      </w:r>
    </w:p>
    <w:p>
      <w:r>
        <w:t>Le module est composé de 9 fichiers Python :</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sz w:val="18"/>
              </w:rPr>
              <w:t>Fichier</w:t>
            </w:r>
          </w:p>
        </w:tc>
        <w:tc>
          <w:tcPr>
            <w:tcW w:type="dxa" w:w="6803"/>
          </w:tcPr>
          <w:p>
            <w:r>
              <w:rPr>
                <w:b/>
                <w:sz w:val="18"/>
              </w:rPr>
              <w:t>Rôle</w:t>
            </w:r>
          </w:p>
        </w:tc>
      </w:tr>
      <w:tr>
        <w:tc>
          <w:tcPr>
            <w:tcW w:type="dxa" w:w="2835"/>
          </w:tcPr>
          <w:p>
            <w:r>
              <w:rPr>
                <w:sz w:val="18"/>
              </w:rPr>
              <w:t>main.py</w:t>
            </w:r>
          </w:p>
        </w:tc>
        <w:tc>
          <w:tcPr>
            <w:tcW w:type="dxa" w:w="6803"/>
          </w:tcPr>
          <w:p>
            <w:r>
              <w:rPr>
                <w:sz w:val="18"/>
              </w:rPr>
              <w:t>Point d'entrée FastAPI — 4 endpoints</w:t>
            </w:r>
          </w:p>
        </w:tc>
      </w:tr>
      <w:tr>
        <w:tc>
          <w:tcPr>
            <w:tcW w:type="dxa" w:w="2835"/>
          </w:tcPr>
          <w:p>
            <w:r>
              <w:rPr>
                <w:sz w:val="18"/>
              </w:rPr>
              <w:t>models.py</w:t>
            </w:r>
          </w:p>
        </w:tc>
        <w:tc>
          <w:tcPr>
            <w:tcW w:type="dxa" w:w="6803"/>
          </w:tcPr>
          <w:p>
            <w:r>
              <w:rPr>
                <w:sz w:val="18"/>
              </w:rPr>
              <w:t>Modèles Pydantic (contrats d'échange JSON)</w:t>
            </w:r>
          </w:p>
        </w:tc>
      </w:tr>
      <w:tr>
        <w:tc>
          <w:tcPr>
            <w:tcW w:type="dxa" w:w="2835"/>
          </w:tcPr>
          <w:p>
            <w:r>
              <w:rPr>
                <w:sz w:val="18"/>
              </w:rPr>
              <w:t>config.py</w:t>
            </w:r>
          </w:p>
        </w:tc>
        <w:tc>
          <w:tcPr>
            <w:tcW w:type="dxa" w:w="6803"/>
          </w:tcPr>
          <w:p>
            <w:r>
              <w:rPr>
                <w:sz w:val="18"/>
              </w:rPr>
              <w:t>Configuration via variables d'environnement</w:t>
            </w:r>
          </w:p>
        </w:tc>
      </w:tr>
      <w:tr>
        <w:tc>
          <w:tcPr>
            <w:tcW w:type="dxa" w:w="2835"/>
          </w:tcPr>
          <w:p>
            <w:r>
              <w:rPr>
                <w:sz w:val="18"/>
              </w:rPr>
              <w:t>detector.py</w:t>
            </w:r>
          </w:p>
        </w:tc>
        <w:tc>
          <w:tcPr>
            <w:tcW w:type="dxa" w:w="6803"/>
          </w:tcPr>
          <w:p>
            <w:r>
              <w:rPr>
                <w:sz w:val="18"/>
              </w:rPr>
              <w:t>Couche 2 : détection par LLM local (Ollama)</w:t>
            </w:r>
          </w:p>
        </w:tc>
      </w:tr>
      <w:tr>
        <w:tc>
          <w:tcPr>
            <w:tcW w:type="dxa" w:w="2835"/>
          </w:tcPr>
          <w:p>
            <w:r>
              <w:rPr>
                <w:sz w:val="18"/>
              </w:rPr>
              <w:t>pattern_detector.py</w:t>
            </w:r>
          </w:p>
        </w:tc>
        <w:tc>
          <w:tcPr>
            <w:tcW w:type="dxa" w:w="6803"/>
          </w:tcPr>
          <w:p>
            <w:r>
              <w:rPr>
                <w:sz w:val="18"/>
              </w:rPr>
              <w:t>Couche 1 : détection par regex (IBAN, TVA, etc.)</w:t>
            </w:r>
          </w:p>
        </w:tc>
      </w:tr>
      <w:tr>
        <w:tc>
          <w:tcPr>
            <w:tcW w:type="dxa" w:w="2835"/>
          </w:tcPr>
          <w:p>
            <w:r>
              <w:rPr>
                <w:sz w:val="18"/>
              </w:rPr>
              <w:t>rgpd.py</w:t>
            </w:r>
          </w:p>
        </w:tc>
        <w:tc>
          <w:tcPr>
            <w:tcW w:type="dxa" w:w="6803"/>
          </w:tcPr>
          <w:p>
            <w:r>
              <w:rPr>
                <w:sz w:val="18"/>
              </w:rPr>
              <w:t>Référentiel des 27 catégories RGPD</w:t>
            </w:r>
          </w:p>
        </w:tc>
      </w:tr>
      <w:tr>
        <w:tc>
          <w:tcPr>
            <w:tcW w:type="dxa" w:w="2835"/>
          </w:tcPr>
          <w:p>
            <w:r>
              <w:rPr>
                <w:sz w:val="18"/>
              </w:rPr>
              <w:t>anonymizer.py</w:t>
            </w:r>
          </w:p>
        </w:tc>
        <w:tc>
          <w:tcPr>
            <w:tcW w:type="dxa" w:w="6803"/>
          </w:tcPr>
          <w:p>
            <w:r>
              <w:rPr>
                <w:sz w:val="18"/>
              </w:rPr>
              <w:t>Moteur d'anonymisation (placeholder + chiffrement Fernet)</w:t>
            </w:r>
          </w:p>
        </w:tc>
      </w:tr>
      <w:tr>
        <w:tc>
          <w:tcPr>
            <w:tcW w:type="dxa" w:w="2835"/>
          </w:tcPr>
          <w:p>
            <w:r>
              <w:rPr>
                <w:sz w:val="18"/>
              </w:rPr>
              <w:t>file_handler.py</w:t>
            </w:r>
          </w:p>
        </w:tc>
        <w:tc>
          <w:tcPr>
            <w:tcW w:type="dxa" w:w="6803"/>
          </w:tcPr>
          <w:p>
            <w:r>
              <w:rPr>
                <w:sz w:val="18"/>
              </w:rPr>
              <w:t>Lecture de fichiers (Excel, CSV, PDF)</w:t>
            </w:r>
          </w:p>
        </w:tc>
      </w:tr>
      <w:tr>
        <w:tc>
          <w:tcPr>
            <w:tcW w:type="dxa" w:w="2835"/>
          </w:tcPr>
          <w:p>
            <w:r>
              <w:rPr>
                <w:sz w:val="18"/>
              </w:rPr>
              <w:t>llm_router.py</w:t>
            </w:r>
          </w:p>
        </w:tc>
        <w:tc>
          <w:tcPr>
            <w:tcW w:type="dxa" w:w="6803"/>
          </w:tcPr>
          <w:p>
            <w:r>
              <w:rPr>
                <w:sz w:val="18"/>
              </w:rPr>
              <w:t>Envoi vers LLM externe (Anthropic, OpenAI) + dé-anonymisation</w:t>
            </w:r>
          </w:p>
        </w:tc>
      </w:tr>
    </w:tbl>
    <w:p/>
    <w:p>
      <w:r>
        <w:t>Diagramme d'architecture :</w:t>
      </w:r>
    </w:p>
    <w:p>
      <w:pPr>
        <w:spacing w:before="120" w:after="120"/>
        <w:ind w:left="567"/>
      </w:pPr>
      <w:r>
        <w:rPr>
          <w:rFonts w:ascii="Courier New" w:hAnsi="Courier New"/>
          <w:color w:val="1E1E1E"/>
          <w:sz w:val="16"/>
        </w:rPr>
        <w:t>modules/anonymisation/</w:t>
        <w:br/>
        <w:t>│</w:t>
        <w:br/>
        <w:t>├── main.py              ← Point d'entrée FastAPI (4 endpoints)</w:t>
        <w:br/>
        <w:t>├── models.py            ← Modèles de données (requêtes/réponses)</w:t>
        <w:br/>
        <w:t>├── config.py            ← Configuration (env vars)</w:t>
        <w:br/>
        <w:t>│</w:t>
        <w:br/>
        <w:t>├── detector.py          ← Couche 2 : détection LLM local (Ollama)</w:t>
        <w:br/>
        <w:t>├── pattern_detector.py  ← Couche 1 : détection regex</w:t>
        <w:br/>
        <w:t>├── rgpd.py              ← Référentiel des catégories RGPD</w:t>
        <w:br/>
        <w:t>│</w:t>
        <w:br/>
        <w:t>├── anonymizer.py        ← Moteur d'anonymisation</w:t>
        <w:br/>
        <w:t>├── file_handler.py      ← Lecture de fichiers</w:t>
        <w:br/>
        <w:t>└── llm_router.py        ← Envoi vers LLM externe</w:t>
      </w:r>
    </w:p>
    <w:p>
      <w:pPr>
        <w:pStyle w:val="Heading1"/>
      </w:pPr>
      <w:r>
        <w:t>3. Les deux fonctions du module</w:t>
      </w:r>
    </w:p>
    <w:p>
      <w:pPr>
        <w:pStyle w:val="Heading2"/>
      </w:pPr>
      <w:r>
        <w:t>Fonction 1 — Anonymisation</w:t>
      </w:r>
    </w:p>
    <w:p>
      <w:r>
        <w:t>Cette fonction gère l'intégralité du cycle d'anonymisation : détection des données sensibles, anonymisation après validation utilisateur, et dé-anonymisation de la réponse du LLM externe.</w:t>
      </w:r>
    </w:p>
    <w:p>
      <w:r>
        <w:t>Elle expose 3 endpoints :</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tcPr>
          <w:p>
            <w:r>
              <w:rPr>
                <w:b/>
                <w:sz w:val="18"/>
              </w:rPr>
              <w:t>Endpoint</w:t>
            </w:r>
          </w:p>
        </w:tc>
        <w:tc>
          <w:tcPr>
            <w:tcW w:type="dxa" w:w="1134"/>
          </w:tcPr>
          <w:p>
            <w:r>
              <w:rPr>
                <w:b/>
                <w:sz w:val="18"/>
              </w:rPr>
              <w:t>Méthode</w:t>
            </w:r>
          </w:p>
        </w:tc>
        <w:tc>
          <w:tcPr>
            <w:tcW w:type="dxa" w:w="5102"/>
          </w:tcPr>
          <w:p>
            <w:r>
              <w:rPr>
                <w:b/>
                <w:sz w:val="18"/>
              </w:rPr>
              <w:t>Description</w:t>
            </w:r>
          </w:p>
        </w:tc>
      </w:tr>
      <w:tr>
        <w:tc>
          <w:tcPr>
            <w:tcW w:type="dxa" w:w="3402"/>
          </w:tcPr>
          <w:p>
            <w:r>
              <w:rPr>
                <w:sz w:val="18"/>
              </w:rPr>
              <w:t>/anonymisation/detect</w:t>
            </w:r>
          </w:p>
        </w:tc>
        <w:tc>
          <w:tcPr>
            <w:tcW w:type="dxa" w:w="1134"/>
          </w:tcPr>
          <w:p>
            <w:r>
              <w:rPr>
                <w:sz w:val="18"/>
              </w:rPr>
              <w:t>POST</w:t>
            </w:r>
          </w:p>
        </w:tc>
        <w:tc>
          <w:tcPr>
            <w:tcW w:type="dxa" w:w="5102"/>
          </w:tcPr>
          <w:p>
            <w:r>
              <w:rPr>
                <w:sz w:val="18"/>
              </w:rPr>
              <w:t>Détecte les données sensibles (fichier, PDF ou texte)</w:t>
            </w:r>
          </w:p>
        </w:tc>
      </w:tr>
      <w:tr>
        <w:tc>
          <w:tcPr>
            <w:tcW w:type="dxa" w:w="3402"/>
          </w:tcPr>
          <w:p>
            <w:r>
              <w:rPr>
                <w:sz w:val="18"/>
              </w:rPr>
              <w:t>/anonymisation/execute</w:t>
            </w:r>
          </w:p>
        </w:tc>
        <w:tc>
          <w:tcPr>
            <w:tcW w:type="dxa" w:w="1134"/>
          </w:tcPr>
          <w:p>
            <w:r>
              <w:rPr>
                <w:sz w:val="18"/>
              </w:rPr>
              <w:t>POST</w:t>
            </w:r>
          </w:p>
        </w:tc>
        <w:tc>
          <w:tcPr>
            <w:tcW w:type="dxa" w:w="5102"/>
          </w:tcPr>
          <w:p>
            <w:r>
              <w:rPr>
                <w:sz w:val="18"/>
              </w:rPr>
              <w:t>Anonymise les données validées par l'utilisateur</w:t>
            </w:r>
          </w:p>
        </w:tc>
      </w:tr>
      <w:tr>
        <w:tc>
          <w:tcPr>
            <w:tcW w:type="dxa" w:w="3402"/>
          </w:tcPr>
          <w:p>
            <w:r>
              <w:rPr>
                <w:sz w:val="18"/>
              </w:rPr>
              <w:t>/anonymisation/deanonymize</w:t>
            </w:r>
          </w:p>
        </w:tc>
        <w:tc>
          <w:tcPr>
            <w:tcW w:type="dxa" w:w="1134"/>
          </w:tcPr>
          <w:p>
            <w:r>
              <w:rPr>
                <w:sz w:val="18"/>
              </w:rPr>
              <w:t>POST</w:t>
            </w:r>
          </w:p>
        </w:tc>
        <w:tc>
          <w:tcPr>
            <w:tcW w:type="dxa" w:w="5102"/>
          </w:tcPr>
          <w:p>
            <w:r>
              <w:rPr>
                <w:sz w:val="18"/>
              </w:rPr>
              <w:t>Dé-anonymise la réponse du LLM externe</w:t>
            </w:r>
          </w:p>
        </w:tc>
      </w:tr>
    </w:tbl>
    <w:p/>
    <w:p>
      <w:pPr>
        <w:pStyle w:val="Heading2"/>
      </w:pPr>
      <w:r>
        <w:t>Fonction 2 — Envoi LLM externe</w:t>
      </w:r>
    </w:p>
    <w:p>
      <w:r>
        <w:t>Cette fonction est un service d'envoi générique vers un LLM externe. Elle n'a aucune connaissance de l'anonymisation et peut être utilisée par n'importe quel module de Saros.</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tcPr>
          <w:p>
            <w:r>
              <w:rPr>
                <w:b/>
                <w:sz w:val="18"/>
              </w:rPr>
              <w:t>Endpoint</w:t>
            </w:r>
          </w:p>
        </w:tc>
        <w:tc>
          <w:tcPr>
            <w:tcW w:type="dxa" w:w="1134"/>
          </w:tcPr>
          <w:p>
            <w:r>
              <w:rPr>
                <w:b/>
                <w:sz w:val="18"/>
              </w:rPr>
              <w:t>Méthode</w:t>
            </w:r>
          </w:p>
        </w:tc>
        <w:tc>
          <w:tcPr>
            <w:tcW w:type="dxa" w:w="5102"/>
          </w:tcPr>
          <w:p>
            <w:r>
              <w:rPr>
                <w:b/>
                <w:sz w:val="18"/>
              </w:rPr>
              <w:t>Description</w:t>
            </w:r>
          </w:p>
        </w:tc>
      </w:tr>
      <w:tr>
        <w:tc>
          <w:tcPr>
            <w:tcW w:type="dxa" w:w="3402"/>
          </w:tcPr>
          <w:p>
            <w:r>
              <w:rPr>
                <w:sz w:val="18"/>
              </w:rPr>
              <w:t>/llm/send</w:t>
            </w:r>
          </w:p>
        </w:tc>
        <w:tc>
          <w:tcPr>
            <w:tcW w:type="dxa" w:w="1134"/>
          </w:tcPr>
          <w:p>
            <w:r>
              <w:rPr>
                <w:sz w:val="18"/>
              </w:rPr>
              <w:t>POST</w:t>
            </w:r>
          </w:p>
        </w:tc>
        <w:tc>
          <w:tcPr>
            <w:tcW w:type="dxa" w:w="5102"/>
          </w:tcPr>
          <w:p>
            <w:r>
              <w:rPr>
                <w:sz w:val="18"/>
              </w:rPr>
              <w:t>Envoie du contenu au LLM cible et retourne la réponse brute</w:t>
            </w:r>
          </w:p>
        </w:tc>
      </w:tr>
    </w:tbl>
    <w:p/>
    <w:p>
      <w:r>
        <w:t>Principe de séparation des responsabilités : la fonction /llm/send ne fait qu'envoyer et recevoir. C'est la fonction Anonymisation qui récupère la réponse brute et la dé-anonymise via /anonymisation/deanonymize en utilisant la table de mappings générée lors de l'étape d'anonymisation.</w:t>
      </w:r>
    </w:p>
    <w:p>
      <w:r>
        <w:br w:type="page"/>
      </w:r>
    </w:p>
    <w:p>
      <w:pPr>
        <w:pStyle w:val="Heading1"/>
      </w:pPr>
      <w:r>
        <w:t>4. Flux détaillé — Fonction 1 : Anonymisation</w:t>
      </w:r>
    </w:p>
    <w:p>
      <w:r>
        <w:t>Le flux d'anonymisation se déroule en 3 étapes :</w:t>
      </w:r>
    </w:p>
    <w:p>
      <w:pPr>
        <w:spacing w:before="120" w:after="120"/>
        <w:ind w:left="567"/>
      </w:pPr>
      <w:r>
        <w:rPr>
          <w:rFonts w:ascii="Courier New" w:hAnsi="Courier New"/>
          <w:color w:val="1E1E1E"/>
          <w:sz w:val="16"/>
        </w:rPr>
        <w:t>Utilisateur</w:t>
        <w:br/>
        <w:t xml:space="preserve">    │</w:t>
        <w:br/>
        <w:t xml:space="preserve">    ▼ demande en langage naturel (+ fichier optionnel)</w:t>
        <w:br/>
        <w:t>Orchestration</w:t>
        <w:br/>
        <w:t xml:space="preserve">    │</w:t>
        <w:br/>
        <w:t xml:space="preserve">    ├──► POST /anonymisation/detect</w:t>
        <w:br/>
        <w:t xml:space="preserve">    │       → Détecte les données sensibles</w:t>
        <w:br/>
        <w:t xml:space="preserve">    │       → Propose des stratégies (placeholder / chiffrement)</w:t>
        <w:br/>
        <w:t xml:space="preserve">    │       ← Retour : liste des entités détectées</w:t>
        <w:br/>
        <w:t xml:space="preserve">    │</w:t>
        <w:br/>
        <w:t xml:space="preserve">    │   L'utilisateur valide / modifie la liste dans l'interface</w:t>
        <w:br/>
        <w:t xml:space="preserve">    │</w:t>
        <w:br/>
        <w:t xml:space="preserve">    ├──► POST /anonymisation/execute</w:t>
        <w:br/>
        <w:t xml:space="preserve">    │       → Applique l'anonymisation validée</w:t>
        <w:br/>
        <w:t xml:space="preserve">    │       ← Retour : contenu anonymisé + table de mappings</w:t>
        <w:br/>
        <w:t xml:space="preserve">    │</w:t>
        <w:br/>
        <w:t xml:space="preserve">    ├──► POST /llm/send  (Fonction 2)</w:t>
        <w:br/>
        <w:t xml:space="preserve">    │       → Envoie le contenu anonymisé au LLM externe</w:t>
        <w:br/>
        <w:t xml:space="preserve">    │       ← Retour : réponse brute du LLM (avec placeholders)</w:t>
        <w:br/>
        <w:t xml:space="preserve">    │</w:t>
        <w:br/>
        <w:t xml:space="preserve">    └──► POST /anonymisation/deanonymize</w:t>
        <w:br/>
        <w:t xml:space="preserve">            → Remplace les placeholders par les vraies valeurs</w:t>
        <w:br/>
        <w:t xml:space="preserve">            → Déchiffre les tokens Fernet</w:t>
        <w:br/>
        <w:t xml:space="preserve">            ← Retour : réponse finale lisible</w:t>
        <w:br/>
        <w:t xml:space="preserve">    │</w:t>
        <w:br/>
        <w:t xml:space="preserve">    ▼</w:t>
        <w:br/>
        <w:t>Utilisateur ← réponse dé-anonymisée</w:t>
      </w:r>
    </w:p>
    <w:p>
      <w:pPr>
        <w:pStyle w:val="Heading2"/>
      </w:pPr>
      <w:r>
        <w:t>4.1. Étape 1 : Détection</w:t>
      </w:r>
    </w:p>
    <w:p>
      <w:r>
        <w:t>Endpoint : POST /anonymisation/detect</w:t>
      </w:r>
    </w:p>
    <w:p>
      <w:r>
        <w:t>Le service d'orchestration envoie la requête utilisateur. Le module détermine automatiquement le mode de traitement :</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r>
              <w:rPr>
                <w:b/>
                <w:sz w:val="18"/>
              </w:rPr>
              <w:t>Condition</w:t>
            </w:r>
          </w:p>
        </w:tc>
        <w:tc>
          <w:tcPr>
            <w:tcW w:type="dxa" w:w="1134"/>
          </w:tcPr>
          <w:p>
            <w:r>
              <w:rPr>
                <w:b/>
                <w:sz w:val="18"/>
              </w:rPr>
              <w:t>Mode</w:t>
            </w:r>
          </w:p>
        </w:tc>
        <w:tc>
          <w:tcPr>
            <w:tcW w:type="dxa" w:w="5669"/>
          </w:tcPr>
          <w:p>
            <w:r>
              <w:rPr>
                <w:b/>
                <w:sz w:val="18"/>
              </w:rPr>
              <w:t>Traitement</w:t>
            </w:r>
          </w:p>
        </w:tc>
      </w:tr>
      <w:tr>
        <w:tc>
          <w:tcPr>
            <w:tcW w:type="dxa" w:w="2835"/>
          </w:tcPr>
          <w:p>
            <w:r>
              <w:rPr>
                <w:sz w:val="18"/>
              </w:rPr>
              <w:t>Fichier Excel/CSV joint</w:t>
            </w:r>
          </w:p>
        </w:tc>
        <w:tc>
          <w:tcPr>
            <w:tcW w:type="dxa" w:w="1134"/>
          </w:tcPr>
          <w:p>
            <w:r>
              <w:rPr>
                <w:sz w:val="18"/>
              </w:rPr>
              <w:t>file</w:t>
            </w:r>
          </w:p>
        </w:tc>
        <w:tc>
          <w:tcPr>
            <w:tcW w:type="dxa" w:w="5669"/>
          </w:tcPr>
          <w:p>
            <w:r>
              <w:rPr>
                <w:sz w:val="18"/>
              </w:rPr>
              <w:t>Charge le fichier, extrait les colonnes + échantillons, LLM analyse les colonnes</w:t>
            </w:r>
          </w:p>
        </w:tc>
      </w:tr>
      <w:tr>
        <w:tc>
          <w:tcPr>
            <w:tcW w:type="dxa" w:w="2835"/>
          </w:tcPr>
          <w:p>
            <w:r>
              <w:rPr>
                <w:sz w:val="18"/>
              </w:rPr>
              <w:t>Fichier PDF joint</w:t>
            </w:r>
          </w:p>
        </w:tc>
        <w:tc>
          <w:tcPr>
            <w:tcW w:type="dxa" w:w="1134"/>
          </w:tcPr>
          <w:p>
            <w:r>
              <w:rPr>
                <w:sz w:val="18"/>
              </w:rPr>
              <w:t>text</w:t>
            </w:r>
          </w:p>
        </w:tc>
        <w:tc>
          <w:tcPr>
            <w:tcW w:type="dxa" w:w="5669"/>
          </w:tcPr>
          <w:p>
            <w:r>
              <w:rPr>
                <w:sz w:val="18"/>
              </w:rPr>
              <w:t>Extrait le texte du PDF, détection hybride (regex + LLM)</w:t>
            </w:r>
          </w:p>
        </w:tc>
      </w:tr>
      <w:tr>
        <w:tc>
          <w:tcPr>
            <w:tcW w:type="dxa" w:w="2835"/>
          </w:tcPr>
          <w:p>
            <w:r>
              <w:rPr>
                <w:sz w:val="18"/>
              </w:rPr>
              <w:t>Aucun fichier (texte seul)</w:t>
            </w:r>
          </w:p>
        </w:tc>
        <w:tc>
          <w:tcPr>
            <w:tcW w:type="dxa" w:w="1134"/>
          </w:tcPr>
          <w:p>
            <w:r>
              <w:rPr>
                <w:sz w:val="18"/>
              </w:rPr>
              <w:t>text</w:t>
            </w:r>
          </w:p>
        </w:tc>
        <w:tc>
          <w:tcPr>
            <w:tcW w:type="dxa" w:w="5669"/>
          </w:tcPr>
          <w:p>
            <w:r>
              <w:rPr>
                <w:sz w:val="18"/>
              </w:rPr>
              <w:t>Détection hybride sur le message utilisateur</w:t>
            </w:r>
          </w:p>
        </w:tc>
      </w:tr>
    </w:tbl>
    <w:p/>
    <w:p>
      <w:r>
        <w:t>La détection retourne une liste d'entités/champs sensibles avec pour chacun : la valeur détectée, la catégorie RGPD, l'article de référence, la stratégie recommandée et une justification. L'utilisateur doit valider cette liste avant de passer à l'étape suivante.</w:t>
      </w:r>
    </w:p>
    <w:p>
      <w:pPr>
        <w:pStyle w:val="Heading2"/>
      </w:pPr>
      <w:r>
        <w:t>4.2. Étape 2 : Exécution</w:t>
      </w:r>
    </w:p>
    <w:p>
      <w:r>
        <w:t>Endpoint : POST /anonymisation/execute</w:t>
      </w:r>
    </w:p>
    <w:p>
      <w:r>
        <w:t>Après validation par l'utilisateur (qui peut ajouter, supprimer ou modifier les champs et stratégies), le module applique l'anonymisation :</w:t>
      </w:r>
    </w:p>
    <w:p>
      <w:pPr>
        <w:pStyle w:val="ListBullet"/>
      </w:pPr>
      <w:r>
        <w:rPr>
          <w:b/>
        </w:rPr>
        <w:t xml:space="preserve">Mode fichier : </w:t>
      </w:r>
      <w:r>
        <w:t>génère un fichier Excel/CSV anonymisé sur le serveur + un fichier mappings JSON.</w:t>
      </w:r>
    </w:p>
    <w:p>
      <w:pPr>
        <w:pStyle w:val="ListBullet"/>
      </w:pPr>
      <w:r>
        <w:rPr>
          <w:b/>
        </w:rPr>
        <w:t xml:space="preserve">Mode texte : </w:t>
      </w:r>
      <w:r>
        <w:t>retourne le message anonymisé + les mappings dans la réponse JSON.</w:t>
      </w:r>
    </w:p>
    <w:p>
      <w:r>
        <w:t>La table de mappings est essentielle : elle contient la correspondance entre chaque placeholder et sa valeur originale, ainsi que la clé de chiffrement Fernet pour les données chiffrées. Elle est utilisée à l'étape 3 pour dé-anonymiser la réponse du LLM.</w:t>
      </w:r>
    </w:p>
    <w:p>
      <w:pPr>
        <w:pStyle w:val="Heading2"/>
      </w:pPr>
      <w:r>
        <w:t>4.3. Étape 3 : Dé-anonymisation</w:t>
      </w:r>
    </w:p>
    <w:p>
      <w:r>
        <w:t>Endpoint : POST /anonymisation/deanonymize</w:t>
      </w:r>
    </w:p>
    <w:p>
      <w:r>
        <w:t>Une fois la réponse du LLM externe obtenue (via /llm/send), l'orchestration appelle ce endpoint pour restaurer les données originales.</w:t>
      </w:r>
    </w:p>
    <w:p>
      <w:r>
        <w:t>Deux opérations sont effectuées :</w:t>
      </w:r>
    </w:p>
    <w:p>
      <w:pPr>
        <w:pStyle w:val="ListBullet"/>
      </w:pPr>
      <w:r>
        <w:rPr>
          <w:b/>
        </w:rPr>
        <w:t xml:space="preserve">Remplacement des placeholders : </w:t>
      </w:r>
      <w:r>
        <w:t>[NOM_1] → « Vincent Dupont », [EMAIL_1] → « vxhaet@gmail.com »</w:t>
      </w:r>
    </w:p>
    <w:p>
      <w:pPr>
        <w:pStyle w:val="ListBullet"/>
      </w:pPr>
      <w:r>
        <w:rPr>
          <w:b/>
        </w:rPr>
        <w:t xml:space="preserve">Déchiffrement Fernet : </w:t>
      </w:r>
      <w:r>
        <w:t>les tokens commençant par gAAAAA sont détectés par regex et déchiffrés avec la clé contenue dans les mappings.</w:t>
      </w:r>
    </w:p>
    <w:p>
      <w:r>
        <w:br w:type="page"/>
      </w:r>
    </w:p>
    <w:p>
      <w:pPr>
        <w:pStyle w:val="Heading1"/>
      </w:pPr>
      <w:r>
        <w:t>5. Flux détaillé — Fonction 2 : Envoi LLM externe</w:t>
      </w:r>
    </w:p>
    <w:p>
      <w:pPr>
        <w:pStyle w:val="Heading2"/>
      </w:pPr>
      <w:r>
        <w:t>5.1. Endpoint POST /llm/send</w:t>
      </w:r>
    </w:p>
    <w:p>
      <w:r>
        <w:t>Ce endpoint reçoit un contenu textuel et le nom du modèle LLM cible. Il détermine automatiquement le provider (Anthropic ou OpenAI) à partir du préfixe du nom de modèle, effectue l'appel API et retourne la réponse brute.</w:t>
      </w:r>
    </w:p>
    <w:p>
      <w:r>
        <w:t>Cette fonction ne connaît pas le concept d'anonymisation. Elle peut être appelée directement par le module de reporting, de correspondance, ou tout autre module nécessitant un appel LLM externe.</w:t>
      </w:r>
    </w:p>
    <w:p>
      <w:pPr>
        <w:pStyle w:val="Heading2"/>
      </w:pPr>
      <w:r>
        <w:t>5.2. Providers supportés</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r>
              <w:rPr>
                <w:b/>
                <w:sz w:val="18"/>
              </w:rPr>
              <w:t>Préfixe modèle</w:t>
            </w:r>
          </w:p>
        </w:tc>
        <w:tc>
          <w:tcPr>
            <w:tcW w:type="dxa" w:w="2268"/>
          </w:tcPr>
          <w:p>
            <w:r>
              <w:rPr>
                <w:b/>
                <w:sz w:val="18"/>
              </w:rPr>
              <w:t>Provider</w:t>
            </w:r>
          </w:p>
        </w:tc>
        <w:tc>
          <w:tcPr>
            <w:tcW w:type="dxa" w:w="5102"/>
          </w:tcPr>
          <w:p>
            <w:r>
              <w:rPr>
                <w:b/>
                <w:sz w:val="18"/>
              </w:rPr>
              <w:t>Exemples</w:t>
            </w:r>
          </w:p>
        </w:tc>
      </w:tr>
      <w:tr>
        <w:tc>
          <w:tcPr>
            <w:tcW w:type="dxa" w:w="2268"/>
          </w:tcPr>
          <w:p>
            <w:r>
              <w:rPr>
                <w:sz w:val="18"/>
              </w:rPr>
              <w:t>claude-*</w:t>
            </w:r>
          </w:p>
        </w:tc>
        <w:tc>
          <w:tcPr>
            <w:tcW w:type="dxa" w:w="2268"/>
          </w:tcPr>
          <w:p>
            <w:r>
              <w:rPr>
                <w:sz w:val="18"/>
              </w:rPr>
              <w:t>Anthropic</w:t>
            </w:r>
          </w:p>
        </w:tc>
        <w:tc>
          <w:tcPr>
            <w:tcW w:type="dxa" w:w="5102"/>
          </w:tcPr>
          <w:p>
            <w:r>
              <w:rPr>
                <w:sz w:val="18"/>
              </w:rPr>
              <w:t>claude-sonnet-4-6, claude-opus-4-6</w:t>
            </w:r>
          </w:p>
        </w:tc>
      </w:tr>
      <w:tr>
        <w:tc>
          <w:tcPr>
            <w:tcW w:type="dxa" w:w="2268"/>
          </w:tcPr>
          <w:p>
            <w:r>
              <w:rPr>
                <w:sz w:val="18"/>
              </w:rPr>
              <w:t>gpt-*</w:t>
            </w:r>
          </w:p>
        </w:tc>
        <w:tc>
          <w:tcPr>
            <w:tcW w:type="dxa" w:w="2268"/>
          </w:tcPr>
          <w:p>
            <w:r>
              <w:rPr>
                <w:sz w:val="18"/>
              </w:rPr>
              <w:t>OpenAI</w:t>
            </w:r>
          </w:p>
        </w:tc>
        <w:tc>
          <w:tcPr>
            <w:tcW w:type="dxa" w:w="5102"/>
          </w:tcPr>
          <w:p>
            <w:r>
              <w:rPr>
                <w:sz w:val="18"/>
              </w:rPr>
              <w:t>gpt-4o, gpt-4o-mini</w:t>
            </w:r>
          </w:p>
        </w:tc>
      </w:tr>
      <w:tr>
        <w:tc>
          <w:tcPr>
            <w:tcW w:type="dxa" w:w="2268"/>
          </w:tcPr>
          <w:p>
            <w:r>
              <w:rPr>
                <w:sz w:val="18"/>
              </w:rPr>
              <w:t>o1-*, o3-*, o4-*</w:t>
            </w:r>
          </w:p>
        </w:tc>
        <w:tc>
          <w:tcPr>
            <w:tcW w:type="dxa" w:w="2268"/>
          </w:tcPr>
          <w:p>
            <w:r>
              <w:rPr>
                <w:sz w:val="18"/>
              </w:rPr>
              <w:t>OpenAI</w:t>
            </w:r>
          </w:p>
        </w:tc>
        <w:tc>
          <w:tcPr>
            <w:tcW w:type="dxa" w:w="5102"/>
          </w:tcPr>
          <w:p>
            <w:r>
              <w:rPr>
                <w:sz w:val="18"/>
              </w:rPr>
              <w:t>o4-mini</w:t>
            </w:r>
          </w:p>
        </w:tc>
      </w:tr>
    </w:tbl>
    <w:p/>
    <w:p>
      <w:r>
        <w:br w:type="page"/>
      </w:r>
    </w:p>
    <w:p>
      <w:pPr>
        <w:pStyle w:val="Heading1"/>
      </w:pPr>
      <w:r>
        <w:t>6. Détection hybride (Regex + LLM local)</w:t>
      </w:r>
    </w:p>
    <w:p>
      <w:r>
        <w:t>La détection des données sensibles repose sur deux couches complémentaires qui s'exécutent en parallèle et dont les résultats sont fusionnés.</w:t>
      </w:r>
    </w:p>
    <w:p>
      <w:pPr>
        <w:pStyle w:val="Heading2"/>
      </w:pPr>
      <w:r>
        <w:t>6.1. Couche 1 : Détection par patterns (regex)</w:t>
      </w:r>
    </w:p>
    <w:p>
      <w:r>
        <w:t>La couche regex capture les formats structurés avec une fiabilité élevée. Elle est déterministe et ne dépend pas d'un modèle IA.</w:t>
      </w:r>
    </w:p>
    <w:p>
      <w:r>
        <w:t>Patterns implémentés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r>
              <w:rPr>
                <w:b/>
                <w:sz w:val="18"/>
              </w:rPr>
              <w:t>Format</w:t>
            </w:r>
          </w:p>
        </w:tc>
        <w:tc>
          <w:tcPr>
            <w:tcW w:type="dxa" w:w="1701"/>
          </w:tcPr>
          <w:p>
            <w:r>
              <w:rPr>
                <w:b/>
                <w:sz w:val="18"/>
              </w:rPr>
              <w:t>Catégorie</w:t>
            </w:r>
          </w:p>
        </w:tc>
        <w:tc>
          <w:tcPr>
            <w:tcW w:type="dxa" w:w="5102"/>
          </w:tcPr>
          <w:p>
            <w:r>
              <w:rPr>
                <w:b/>
                <w:sz w:val="18"/>
              </w:rPr>
              <w:t>Exemple</w:t>
            </w:r>
          </w:p>
        </w:tc>
      </w:tr>
      <w:tr>
        <w:tc>
          <w:tcPr>
            <w:tcW w:type="dxa" w:w="2835"/>
          </w:tcPr>
          <w:p>
            <w:r>
              <w:rPr>
                <w:sz w:val="18"/>
              </w:rPr>
              <w:t>IBAN</w:t>
            </w:r>
          </w:p>
        </w:tc>
        <w:tc>
          <w:tcPr>
            <w:tcW w:type="dxa" w:w="1701"/>
          </w:tcPr>
          <w:p>
            <w:r>
              <w:rPr>
                <w:sz w:val="18"/>
              </w:rPr>
              <w:t>IBAN</w:t>
            </w:r>
          </w:p>
        </w:tc>
        <w:tc>
          <w:tcPr>
            <w:tcW w:type="dxa" w:w="5102"/>
          </w:tcPr>
          <w:p>
            <w:r>
              <w:rPr>
                <w:sz w:val="18"/>
              </w:rPr>
              <w:t>BE36 0019 8525 8681</w:t>
            </w:r>
          </w:p>
        </w:tc>
      </w:tr>
      <w:tr>
        <w:tc>
          <w:tcPr>
            <w:tcW w:type="dxa" w:w="2835"/>
          </w:tcPr>
          <w:p>
            <w:r>
              <w:rPr>
                <w:sz w:val="18"/>
              </w:rPr>
              <w:t>Code BIC/SWIFT</w:t>
            </w:r>
          </w:p>
        </w:tc>
        <w:tc>
          <w:tcPr>
            <w:tcW w:type="dxa" w:w="1701"/>
          </w:tcPr>
          <w:p>
            <w:r>
              <w:rPr>
                <w:sz w:val="18"/>
              </w:rPr>
              <w:t>IBAN</w:t>
            </w:r>
          </w:p>
        </w:tc>
        <w:tc>
          <w:tcPr>
            <w:tcW w:type="dxa" w:w="5102"/>
          </w:tcPr>
          <w:p>
            <w:r>
              <w:rPr>
                <w:sz w:val="18"/>
              </w:rPr>
              <w:t>GEBABEBB</w:t>
            </w:r>
          </w:p>
        </w:tc>
      </w:tr>
      <w:tr>
        <w:tc>
          <w:tcPr>
            <w:tcW w:type="dxa" w:w="2835"/>
          </w:tcPr>
          <w:p>
            <w:r>
              <w:rPr>
                <w:sz w:val="18"/>
              </w:rPr>
              <w:t>Email</w:t>
            </w:r>
          </w:p>
        </w:tc>
        <w:tc>
          <w:tcPr>
            <w:tcW w:type="dxa" w:w="1701"/>
          </w:tcPr>
          <w:p>
            <w:r>
              <w:rPr>
                <w:sz w:val="18"/>
              </w:rPr>
              <w:t>EMAIL</w:t>
            </w:r>
          </w:p>
        </w:tc>
        <w:tc>
          <w:tcPr>
            <w:tcW w:type="dxa" w:w="5102"/>
          </w:tcPr>
          <w:p>
            <w:r>
              <w:rPr>
                <w:sz w:val="18"/>
              </w:rPr>
              <w:t>contact@entreprise.fr</w:t>
            </w:r>
          </w:p>
        </w:tc>
      </w:tr>
      <w:tr>
        <w:tc>
          <w:tcPr>
            <w:tcW w:type="dxa" w:w="2835"/>
          </w:tcPr>
          <w:p>
            <w:r>
              <w:rPr>
                <w:sz w:val="18"/>
              </w:rPr>
              <w:t>Téléphone (FR/BE)</w:t>
            </w:r>
          </w:p>
        </w:tc>
        <w:tc>
          <w:tcPr>
            <w:tcW w:type="dxa" w:w="1701"/>
          </w:tcPr>
          <w:p>
            <w:r>
              <w:rPr>
                <w:sz w:val="18"/>
              </w:rPr>
              <w:t>TELEPHONE</w:t>
            </w:r>
          </w:p>
        </w:tc>
        <w:tc>
          <w:tcPr>
            <w:tcW w:type="dxa" w:w="5102"/>
          </w:tcPr>
          <w:p>
            <w:r>
              <w:rPr>
                <w:sz w:val="18"/>
              </w:rPr>
              <w:t>06 01 02 03 04</w:t>
            </w:r>
          </w:p>
        </w:tc>
      </w:tr>
      <w:tr>
        <w:tc>
          <w:tcPr>
            <w:tcW w:type="dxa" w:w="2835"/>
          </w:tcPr>
          <w:p>
            <w:r>
              <w:rPr>
                <w:sz w:val="18"/>
              </w:rPr>
              <w:t>NIR (sécu sociale)</w:t>
            </w:r>
          </w:p>
        </w:tc>
        <w:tc>
          <w:tcPr>
            <w:tcW w:type="dxa" w:w="1701"/>
          </w:tcPr>
          <w:p>
            <w:r>
              <w:rPr>
                <w:sz w:val="18"/>
              </w:rPr>
              <w:t>NIR</w:t>
            </w:r>
          </w:p>
        </w:tc>
        <w:tc>
          <w:tcPr>
            <w:tcW w:type="dxa" w:w="5102"/>
          </w:tcPr>
          <w:p>
            <w:r>
              <w:rPr>
                <w:sz w:val="18"/>
              </w:rPr>
              <w:t>1 85 03 75 108 042 36</w:t>
            </w:r>
          </w:p>
        </w:tc>
      </w:tr>
      <w:tr>
        <w:tc>
          <w:tcPr>
            <w:tcW w:type="dxa" w:w="2835"/>
          </w:tcPr>
          <w:p>
            <w:r>
              <w:rPr>
                <w:sz w:val="18"/>
              </w:rPr>
              <w:t>TVA belge</w:t>
            </w:r>
          </w:p>
        </w:tc>
        <w:tc>
          <w:tcPr>
            <w:tcW w:type="dxa" w:w="1701"/>
          </w:tcPr>
          <w:p>
            <w:r>
              <w:rPr>
                <w:sz w:val="18"/>
              </w:rPr>
              <w:t>ID_UNIQUE</w:t>
            </w:r>
          </w:p>
        </w:tc>
        <w:tc>
          <w:tcPr>
            <w:tcW w:type="dxa" w:w="5102"/>
          </w:tcPr>
          <w:p>
            <w:r>
              <w:rPr>
                <w:sz w:val="18"/>
              </w:rPr>
              <w:t>BE 0750.515.724</w:t>
            </w:r>
          </w:p>
        </w:tc>
      </w:tr>
      <w:tr>
        <w:tc>
          <w:tcPr>
            <w:tcW w:type="dxa" w:w="2835"/>
          </w:tcPr>
          <w:p>
            <w:r>
              <w:rPr>
                <w:sz w:val="18"/>
              </w:rPr>
              <w:t>TVA française</w:t>
            </w:r>
          </w:p>
        </w:tc>
        <w:tc>
          <w:tcPr>
            <w:tcW w:type="dxa" w:w="1701"/>
          </w:tcPr>
          <w:p>
            <w:r>
              <w:rPr>
                <w:sz w:val="18"/>
              </w:rPr>
              <w:t>ID_UNIQUE</w:t>
            </w:r>
          </w:p>
        </w:tc>
        <w:tc>
          <w:tcPr>
            <w:tcW w:type="dxa" w:w="5102"/>
          </w:tcPr>
          <w:p>
            <w:r>
              <w:rPr>
                <w:sz w:val="18"/>
              </w:rPr>
              <w:t>FR 12 345 678 901</w:t>
            </w:r>
          </w:p>
        </w:tc>
      </w:tr>
      <w:tr>
        <w:tc>
          <w:tcPr>
            <w:tcW w:type="dxa" w:w="2835"/>
          </w:tcPr>
          <w:p>
            <w:r>
              <w:rPr>
                <w:sz w:val="18"/>
              </w:rPr>
              <w:t>Communication structurée (BE)</w:t>
            </w:r>
          </w:p>
        </w:tc>
        <w:tc>
          <w:tcPr>
            <w:tcW w:type="dxa" w:w="1701"/>
          </w:tcPr>
          <w:p>
            <w:r>
              <w:rPr>
                <w:sz w:val="18"/>
              </w:rPr>
              <w:t>ID_UNIQUE</w:t>
            </w:r>
          </w:p>
        </w:tc>
        <w:tc>
          <w:tcPr>
            <w:tcW w:type="dxa" w:w="5102"/>
          </w:tcPr>
          <w:p>
            <w:r>
              <w:rPr>
                <w:sz w:val="18"/>
              </w:rPr>
              <w:t>+++125/1200/00310+++</w:t>
            </w:r>
          </w:p>
        </w:tc>
      </w:tr>
    </w:tbl>
    <w:p/>
    <w:p>
      <w:r>
        <w:t>Mécanismes anti-faux-positifs :</w:t>
      </w:r>
    </w:p>
    <w:p>
      <w:pPr>
        <w:pStyle w:val="ListBullet"/>
      </w:pPr>
      <w:r>
        <w:t>Ordre spécifique → général : l'IBAN est testé avant le téléphone pour éviter les chevauchements.</w:t>
      </w:r>
    </w:p>
    <w:p>
      <w:pPr>
        <w:pStyle w:val="ListBullet"/>
      </w:pPr>
      <w:r>
        <w:t>Positions couvertes : une zone de texte déjà matchée par un pattern plus spécifique est ignorée.</w:t>
      </w:r>
    </w:p>
    <w:p>
      <w:pPr>
        <w:pStyle w:val="ListBullet"/>
      </w:pPr>
      <w:r>
        <w:t>Exclusions BIC : les mots courants (HTVA, TOTAL, FACTURE, etc.) ne sont pas capturés comme codes BIC.</w:t>
      </w:r>
    </w:p>
    <w:p>
      <w:pPr>
        <w:pStyle w:val="ListBullet"/>
      </w:pPr>
      <w:r>
        <w:t>Téléphone strict : ne matche que les formats commençant par 0x (évite les montants et numéros de facture).</w:t>
      </w:r>
    </w:p>
    <w:p>
      <w:pPr>
        <w:pStyle w:val="Heading2"/>
      </w:pPr>
      <w:r>
        <w:t>6.2. Couche 2 : Détection par LLM local (Ollama)</w:t>
      </w:r>
    </w:p>
    <w:p>
      <w:r>
        <w:t>La couche LLM complète la couche regex en détectant ce que les expressions régulières ne peuvent pas voir :</w:t>
      </w:r>
    </w:p>
    <w:p>
      <w:pPr>
        <w:pStyle w:val="ListBullet"/>
      </w:pPr>
      <w:r>
        <w:t>Noms de personnes (nom, prénom, nom complet)</w:t>
      </w:r>
    </w:p>
    <w:p>
      <w:pPr>
        <w:pStyle w:val="ListBullet"/>
      </w:pPr>
      <w:r>
        <w:t>Noms d'entreprises, de sociétés, de cabinets</w:t>
      </w:r>
    </w:p>
    <w:p>
      <w:pPr>
        <w:pStyle w:val="ListBullet"/>
      </w:pPr>
      <w:r>
        <w:t>Adresses postales (rue, numéro, code postal, ville)</w:t>
      </w:r>
    </w:p>
    <w:p>
      <w:pPr>
        <w:pStyle w:val="ListBullet"/>
      </w:pPr>
      <w:r>
        <w:t>Descriptions ou intitulés révélant l'identité</w:t>
      </w:r>
    </w:p>
    <w:p>
      <w:r>
        <w:t>Le prompt système indique explicitement au LLM que les formats structurés sont déjà détectés et qu'il doit se concentrer sur les données non structurées. Il inclut également une analyse contextuelle : les données nécessaires au traitement demandé (montants pour un calcul, dates pour un tri) ne doivent pas être anonymisées si elles ne permettent plus d'identifier une personne une fois les identifiants supprimés.</w:t>
      </w:r>
    </w:p>
    <w:p>
      <w:r>
        <w:t>Modèle utilisé par défaut : qwen2.5:14b-instruct via Ollama.</w:t>
      </w:r>
    </w:p>
    <w:p>
      <w:pPr>
        <w:pStyle w:val="Heading2"/>
      </w:pPr>
      <w:r>
        <w:t>6.3. Fusion des résultats</w:t>
      </w:r>
    </w:p>
    <w:p>
      <w:r>
        <w:t>Les résultats des deux couches sont fusionnés sans doublons. En cas de conflit (même valeur détectée par les deux couches), la détection LLM est prioritaire car elle inclut une recommandation de stratégie contextuelle plus fine.</w:t>
      </w:r>
    </w:p>
    <w:p>
      <w:pPr>
        <w:spacing w:before="120" w:after="120"/>
        <w:ind w:left="567"/>
      </w:pPr>
      <w:r>
        <w:rPr>
          <w:rFonts w:ascii="Courier New" w:hAnsi="Courier New"/>
          <w:color w:val="1E1E1E"/>
          <w:sz w:val="16"/>
        </w:rPr>
        <w:t>1. Regex détecte : IBAN, TVA, BIC, emails, téléphones, NIR</w:t>
        <w:br/>
        <w:t xml:space="preserve">   → Stratégie par défaut : encryption</w:t>
        <w:br/>
        <w:br/>
        <w:t>2. LLM détecte : noms, entreprises, adresses</w:t>
        <w:br/>
        <w:t xml:space="preserve">   → Stratégie contextuelle : placeholder ou encryption</w:t>
        <w:br/>
        <w:br/>
        <w:t>3. Fusion : LLM d'abord (prioritaire), puis regex (complémentaire)</w:t>
        <w:br/>
        <w:t xml:space="preserve">   → Dédoublonnage par valeur</w:t>
      </w:r>
    </w:p>
    <w:p>
      <w:r>
        <w:br w:type="page"/>
      </w:r>
    </w:p>
    <w:p>
      <w:pPr>
        <w:pStyle w:val="Heading1"/>
      </w:pPr>
      <w:r>
        <w:t>7. Stratégies d'anonymisation</w:t>
      </w:r>
    </w:p>
    <w:p>
      <w:pPr>
        <w:pStyle w:val="Heading2"/>
      </w:pPr>
      <w:r>
        <w:t>7.1. Placeholder</w:t>
      </w:r>
    </w:p>
    <w:p>
      <w:r>
        <w:t>Remplacement de la valeur par un placeholder typé et numéroté. Le préfixe correspond au code de la catégorie RGPD.</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r>
              <w:rPr>
                <w:b/>
                <w:sz w:val="18"/>
              </w:rPr>
              <w:t>Valeur originale</w:t>
            </w:r>
          </w:p>
        </w:tc>
        <w:tc>
          <w:tcPr>
            <w:tcW w:type="dxa" w:w="2268"/>
          </w:tcPr>
          <w:p>
            <w:r>
              <w:rPr>
                <w:b/>
                <w:sz w:val="18"/>
              </w:rPr>
              <w:t>Placeholder</w:t>
            </w:r>
          </w:p>
        </w:tc>
        <w:tc>
          <w:tcPr>
            <w:tcW w:type="dxa" w:w="2268"/>
          </w:tcPr>
          <w:p>
            <w:r>
              <w:rPr>
                <w:b/>
                <w:sz w:val="18"/>
              </w:rPr>
              <w:t>Catégorie</w:t>
            </w:r>
          </w:p>
        </w:tc>
      </w:tr>
      <w:tr>
        <w:tc>
          <w:tcPr>
            <w:tcW w:type="dxa" w:w="2835"/>
          </w:tcPr>
          <w:p>
            <w:r>
              <w:rPr>
                <w:sz w:val="18"/>
              </w:rPr>
              <w:t>Vincent Dupont</w:t>
            </w:r>
          </w:p>
        </w:tc>
        <w:tc>
          <w:tcPr>
            <w:tcW w:type="dxa" w:w="2268"/>
          </w:tcPr>
          <w:p>
            <w:r>
              <w:rPr>
                <w:sz w:val="18"/>
              </w:rPr>
              <w:t>[NOM_1]</w:t>
            </w:r>
          </w:p>
        </w:tc>
        <w:tc>
          <w:tcPr>
            <w:tcW w:type="dxa" w:w="2268"/>
          </w:tcPr>
          <w:p>
            <w:r>
              <w:rPr>
                <w:sz w:val="18"/>
              </w:rPr>
              <w:t>NOM</w:t>
            </w:r>
          </w:p>
        </w:tc>
      </w:tr>
      <w:tr>
        <w:tc>
          <w:tcPr>
            <w:tcW w:type="dxa" w:w="2835"/>
          </w:tcPr>
          <w:p>
            <w:r>
              <w:rPr>
                <w:sz w:val="18"/>
              </w:rPr>
              <w:t>Marie Martin</w:t>
            </w:r>
          </w:p>
        </w:tc>
        <w:tc>
          <w:tcPr>
            <w:tcW w:type="dxa" w:w="2268"/>
          </w:tcPr>
          <w:p>
            <w:r>
              <w:rPr>
                <w:sz w:val="18"/>
              </w:rPr>
              <w:t>[NOM_2]</w:t>
            </w:r>
          </w:p>
        </w:tc>
        <w:tc>
          <w:tcPr>
            <w:tcW w:type="dxa" w:w="2268"/>
          </w:tcPr>
          <w:p>
            <w:r>
              <w:rPr>
                <w:sz w:val="18"/>
              </w:rPr>
              <w:t>NOM</w:t>
            </w:r>
          </w:p>
        </w:tc>
      </w:tr>
      <w:tr>
        <w:tc>
          <w:tcPr>
            <w:tcW w:type="dxa" w:w="2835"/>
          </w:tcPr>
          <w:p>
            <w:r>
              <w:rPr>
                <w:sz w:val="18"/>
              </w:rPr>
              <w:t>vxhaet@gmail.com</w:t>
            </w:r>
          </w:p>
        </w:tc>
        <w:tc>
          <w:tcPr>
            <w:tcW w:type="dxa" w:w="2268"/>
          </w:tcPr>
          <w:p>
            <w:r>
              <w:rPr>
                <w:sz w:val="18"/>
              </w:rPr>
              <w:t>[EMAIL_1]</w:t>
            </w:r>
          </w:p>
        </w:tc>
        <w:tc>
          <w:tcPr>
            <w:tcW w:type="dxa" w:w="2268"/>
          </w:tcPr>
          <w:p>
            <w:r>
              <w:rPr>
                <w:sz w:val="18"/>
              </w:rPr>
              <w:t>EMAIL</w:t>
            </w:r>
          </w:p>
        </w:tc>
      </w:tr>
      <w:tr>
        <w:tc>
          <w:tcPr>
            <w:tcW w:type="dxa" w:w="2835"/>
          </w:tcPr>
          <w:p>
            <w:r>
              <w:rPr>
                <w:sz w:val="18"/>
              </w:rPr>
              <w:t>12 rue de la Paix</w:t>
            </w:r>
          </w:p>
        </w:tc>
        <w:tc>
          <w:tcPr>
            <w:tcW w:type="dxa" w:w="2268"/>
          </w:tcPr>
          <w:p>
            <w:r>
              <w:rPr>
                <w:sz w:val="18"/>
              </w:rPr>
              <w:t>[ADRESSE_1]</w:t>
            </w:r>
          </w:p>
        </w:tc>
        <w:tc>
          <w:tcPr>
            <w:tcW w:type="dxa" w:w="2268"/>
          </w:tcPr>
          <w:p>
            <w:r>
              <w:rPr>
                <w:sz w:val="18"/>
              </w:rPr>
              <w:t>ADRESSE</w:t>
            </w:r>
          </w:p>
        </w:tc>
      </w:tr>
    </w:tbl>
    <w:p/>
    <w:p>
      <w:r>
        <w:t>Caractéristiques :</w:t>
      </w:r>
    </w:p>
    <w:p>
      <w:pPr>
        <w:pStyle w:val="ListBullet"/>
      </w:pPr>
      <w:r>
        <w:t>Lisible par un LLM externe : le placeholder conserve le sens (on sait qu'il s'agit d'un nom, d'un email, etc.)</w:t>
      </w:r>
    </w:p>
    <w:p>
      <w:pPr>
        <w:pStyle w:val="ListBullet"/>
      </w:pPr>
      <w:r>
        <w:t>Déduplication : la même valeur originale produit toujours le même placeholder.</w:t>
      </w:r>
    </w:p>
    <w:p>
      <w:pPr>
        <w:pStyle w:val="ListBullet"/>
      </w:pPr>
      <w:r>
        <w:t>Dé-anonymisation simple : remplacement inverse via la table de mappings.</w:t>
      </w:r>
    </w:p>
    <w:p>
      <w:pPr>
        <w:pStyle w:val="ListBullet"/>
      </w:pPr>
      <w:r>
        <w:t>Tri par longueur décroissante avant remplacement (évite que « Vincent » soit remplacé avant « Vincent Dupont Consulting »).</w:t>
      </w:r>
    </w:p>
    <w:p>
      <w:pPr>
        <w:pStyle w:val="Heading2"/>
      </w:pPr>
      <w:r>
        <w:t>7.2. Chiffrement (Fernet)</w:t>
      </w:r>
    </w:p>
    <w:p>
      <w:r>
        <w:t>Chiffrement symétrique AES-128-CBC via la bibliothèque Python cryptography (Fernet). La valeur est transformée en token illisible mais réversible.</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sz w:val="18"/>
              </w:rPr>
              <w:t>Valeur originale</w:t>
            </w:r>
          </w:p>
        </w:tc>
        <w:tc>
          <w:tcPr>
            <w:tcW w:type="dxa" w:w="6803"/>
          </w:tcPr>
          <w:p>
            <w:r>
              <w:rPr>
                <w:b/>
                <w:sz w:val="18"/>
              </w:rPr>
              <w:t>Valeur chiffrée</w:t>
            </w:r>
          </w:p>
        </w:tc>
      </w:tr>
      <w:tr>
        <w:tc>
          <w:tcPr>
            <w:tcW w:type="dxa" w:w="2835"/>
          </w:tcPr>
          <w:p>
            <w:r>
              <w:rPr>
                <w:sz w:val="18"/>
              </w:rPr>
              <w:t>BE36 0019 8525 8681</w:t>
            </w:r>
          </w:p>
        </w:tc>
        <w:tc>
          <w:tcPr>
            <w:tcW w:type="dxa" w:w="6803"/>
          </w:tcPr>
          <w:p>
            <w:r>
              <w:rPr>
                <w:sz w:val="18"/>
              </w:rPr>
              <w:t>gAAAAABqgCbHY5R8t4Lmg...</w:t>
            </w:r>
          </w:p>
        </w:tc>
      </w:tr>
      <w:tr>
        <w:tc>
          <w:tcPr>
            <w:tcW w:type="dxa" w:w="2835"/>
          </w:tcPr>
          <w:p>
            <w:r>
              <w:rPr>
                <w:sz w:val="18"/>
              </w:rPr>
              <w:t>vxhaet@gmail.com</w:t>
            </w:r>
          </w:p>
        </w:tc>
        <w:tc>
          <w:tcPr>
            <w:tcW w:type="dxa" w:w="6803"/>
          </w:tcPr>
          <w:p>
            <w:r>
              <w:rPr>
                <w:sz w:val="18"/>
              </w:rPr>
              <w:t>gAAAAABqf4x-0_MLr_uu...</w:t>
            </w:r>
          </w:p>
        </w:tc>
      </w:tr>
    </w:tbl>
    <w:p/>
    <w:p>
      <w:r>
        <w:t>Caractéristiques :</w:t>
      </w:r>
    </w:p>
    <w:p>
      <w:pPr>
        <w:pStyle w:val="ListBullet"/>
      </w:pPr>
      <w:r>
        <w:t>Réversible : la clé Fernet est stockée dans la table de mappings.</w:t>
      </w:r>
    </w:p>
    <w:p>
      <w:pPr>
        <w:pStyle w:val="ListBullet"/>
      </w:pPr>
      <w:r>
        <w:t>À utiliser quand la donnée doit pouvoir être ré-identifiée (jointure entre systèmes, audit).</w:t>
      </w:r>
    </w:p>
    <w:p>
      <w:pPr>
        <w:pStyle w:val="ListBullet"/>
      </w:pPr>
      <w:r>
        <w:t>Les tokens commencent toujours par « gAAAAA » — utilisé par la dé-anonymisation pour les repérer.</w:t>
      </w:r>
    </w:p>
    <w:p>
      <w:pPr>
        <w:pStyle w:val="ListBullet"/>
      </w:pPr>
      <w:r>
        <w:t>Cache interne : la même valeur chiffrée deux fois produit le même token (performance).</w:t>
      </w:r>
    </w:p>
    <w:p>
      <w:r>
        <w:br w:type="page"/>
      </w:r>
    </w:p>
    <w:p>
      <w:pPr>
        <w:pStyle w:val="Heading1"/>
      </w:pPr>
      <w:r>
        <w:t>8. Référentiel RGPD</w:t>
      </w:r>
    </w:p>
    <w:p>
      <w:r>
        <w:t>Le module s'appuie sur un référentiel de 27 catégories de données personnelles défini selon les articles 4, 9 et 10 du RGPD.</w:t>
      </w:r>
    </w:p>
    <w:p>
      <w:pPr>
        <w:pStyle w:val="Heading2"/>
      </w:pPr>
      <w:r>
        <w:t>Article 4 — Données personnelles</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Pr>
                <w:b/>
                <w:sz w:val="18"/>
              </w:rPr>
              <w:t>Code</w:t>
            </w:r>
          </w:p>
        </w:tc>
        <w:tc>
          <w:tcPr>
            <w:tcW w:type="dxa" w:w="2268"/>
          </w:tcPr>
          <w:p>
            <w:r>
              <w:rPr>
                <w:b/>
                <w:sz w:val="18"/>
              </w:rPr>
              <w:t>Libellé</w:t>
            </w:r>
          </w:p>
        </w:tc>
        <w:tc>
          <w:tcPr>
            <w:tcW w:type="dxa" w:w="5669"/>
          </w:tcPr>
          <w:p>
            <w:r>
              <w:rPr>
                <w:b/>
                <w:sz w:val="18"/>
              </w:rPr>
              <w:t>Description</w:t>
            </w:r>
          </w:p>
        </w:tc>
      </w:tr>
      <w:tr>
        <w:tc>
          <w:tcPr>
            <w:tcW w:type="dxa" w:w="1701"/>
          </w:tcPr>
          <w:p>
            <w:r>
              <w:rPr>
                <w:sz w:val="18"/>
              </w:rPr>
              <w:t>NOM</w:t>
            </w:r>
          </w:p>
        </w:tc>
        <w:tc>
          <w:tcPr>
            <w:tcW w:type="dxa" w:w="2268"/>
          </w:tcPr>
          <w:p>
            <w:r>
              <w:rPr>
                <w:sz w:val="18"/>
              </w:rPr>
              <w:t>Nom de famille</w:t>
            </w:r>
          </w:p>
        </w:tc>
        <w:tc>
          <w:tcPr>
            <w:tcW w:type="dxa" w:w="5669"/>
          </w:tcPr>
          <w:p>
            <w:r>
              <w:rPr>
                <w:sz w:val="18"/>
              </w:rPr>
              <w:t>Nom de famille, nom de naissance, nom marital</w:t>
            </w:r>
          </w:p>
        </w:tc>
      </w:tr>
      <w:tr>
        <w:tc>
          <w:tcPr>
            <w:tcW w:type="dxa" w:w="1701"/>
          </w:tcPr>
          <w:p>
            <w:r>
              <w:rPr>
                <w:sz w:val="18"/>
              </w:rPr>
              <w:t>PRENOM</w:t>
            </w:r>
          </w:p>
        </w:tc>
        <w:tc>
          <w:tcPr>
            <w:tcW w:type="dxa" w:w="2268"/>
          </w:tcPr>
          <w:p>
            <w:r>
              <w:rPr>
                <w:sz w:val="18"/>
              </w:rPr>
              <w:t>Prénom</w:t>
            </w:r>
          </w:p>
        </w:tc>
        <w:tc>
          <w:tcPr>
            <w:tcW w:type="dxa" w:w="5669"/>
          </w:tcPr>
          <w:p>
            <w:r>
              <w:rPr>
                <w:sz w:val="18"/>
              </w:rPr>
              <w:t>Prénom, second prénom</w:t>
            </w:r>
          </w:p>
        </w:tc>
      </w:tr>
      <w:tr>
        <w:tc>
          <w:tcPr>
            <w:tcW w:type="dxa" w:w="1701"/>
          </w:tcPr>
          <w:p>
            <w:r>
              <w:rPr>
                <w:sz w:val="18"/>
              </w:rPr>
              <w:t>EMAIL</w:t>
            </w:r>
          </w:p>
        </w:tc>
        <w:tc>
          <w:tcPr>
            <w:tcW w:type="dxa" w:w="2268"/>
          </w:tcPr>
          <w:p>
            <w:r>
              <w:rPr>
                <w:sz w:val="18"/>
              </w:rPr>
              <w:t>Adresse email</w:t>
            </w:r>
          </w:p>
        </w:tc>
        <w:tc>
          <w:tcPr>
            <w:tcW w:type="dxa" w:w="5669"/>
          </w:tcPr>
          <w:p>
            <w:r>
              <w:rPr>
                <w:sz w:val="18"/>
              </w:rPr>
              <w:t>Adresse de courrier électronique</w:t>
            </w:r>
          </w:p>
        </w:tc>
      </w:tr>
      <w:tr>
        <w:tc>
          <w:tcPr>
            <w:tcW w:type="dxa" w:w="1701"/>
          </w:tcPr>
          <w:p>
            <w:r>
              <w:rPr>
                <w:sz w:val="18"/>
              </w:rPr>
              <w:t>TELEPHONE</w:t>
            </w:r>
          </w:p>
        </w:tc>
        <w:tc>
          <w:tcPr>
            <w:tcW w:type="dxa" w:w="2268"/>
          </w:tcPr>
          <w:p>
            <w:r>
              <w:rPr>
                <w:sz w:val="18"/>
              </w:rPr>
              <w:t>Téléphone</w:t>
            </w:r>
          </w:p>
        </w:tc>
        <w:tc>
          <w:tcPr>
            <w:tcW w:type="dxa" w:w="5669"/>
          </w:tcPr>
          <w:p>
            <w:r>
              <w:rPr>
                <w:sz w:val="18"/>
              </w:rPr>
              <w:t>Numéro fixe ou mobile</w:t>
            </w:r>
          </w:p>
        </w:tc>
      </w:tr>
      <w:tr>
        <w:tc>
          <w:tcPr>
            <w:tcW w:type="dxa" w:w="1701"/>
          </w:tcPr>
          <w:p>
            <w:r>
              <w:rPr>
                <w:sz w:val="18"/>
              </w:rPr>
              <w:t>ADRESSE</w:t>
            </w:r>
          </w:p>
        </w:tc>
        <w:tc>
          <w:tcPr>
            <w:tcW w:type="dxa" w:w="2268"/>
          </w:tcPr>
          <w:p>
            <w:r>
              <w:rPr>
                <w:sz w:val="18"/>
              </w:rPr>
              <w:t>Adresse postale</w:t>
            </w:r>
          </w:p>
        </w:tc>
        <w:tc>
          <w:tcPr>
            <w:tcW w:type="dxa" w:w="5669"/>
          </w:tcPr>
          <w:p>
            <w:r>
              <w:rPr>
                <w:sz w:val="18"/>
              </w:rPr>
              <w:t>Rue, ville, code postal, pays</w:t>
            </w:r>
          </w:p>
        </w:tc>
      </w:tr>
      <w:tr>
        <w:tc>
          <w:tcPr>
            <w:tcW w:type="dxa" w:w="1701"/>
          </w:tcPr>
          <w:p>
            <w:r>
              <w:rPr>
                <w:sz w:val="18"/>
              </w:rPr>
              <w:t>DATE_NAISS</w:t>
            </w:r>
          </w:p>
        </w:tc>
        <w:tc>
          <w:tcPr>
            <w:tcW w:type="dxa" w:w="2268"/>
          </w:tcPr>
          <w:p>
            <w:r>
              <w:rPr>
                <w:sz w:val="18"/>
              </w:rPr>
              <w:t>Date de naissance</w:t>
            </w:r>
          </w:p>
        </w:tc>
        <w:tc>
          <w:tcPr>
            <w:tcW w:type="dxa" w:w="5669"/>
          </w:tcPr>
          <w:p>
            <w:r>
              <w:rPr>
                <w:sz w:val="18"/>
              </w:rPr>
              <w:t>Date de naissance, âge</w:t>
            </w:r>
          </w:p>
        </w:tc>
      </w:tr>
      <w:tr>
        <w:tc>
          <w:tcPr>
            <w:tcW w:type="dxa" w:w="1701"/>
          </w:tcPr>
          <w:p>
            <w:r>
              <w:rPr>
                <w:sz w:val="18"/>
              </w:rPr>
              <w:t>NIR</w:t>
            </w:r>
          </w:p>
        </w:tc>
        <w:tc>
          <w:tcPr>
            <w:tcW w:type="dxa" w:w="2268"/>
          </w:tcPr>
          <w:p>
            <w:r>
              <w:rPr>
                <w:sz w:val="18"/>
              </w:rPr>
              <w:t>N° sécurité sociale</w:t>
            </w:r>
          </w:p>
        </w:tc>
        <w:tc>
          <w:tcPr>
            <w:tcW w:type="dxa" w:w="5669"/>
          </w:tcPr>
          <w:p>
            <w:r>
              <w:rPr>
                <w:sz w:val="18"/>
              </w:rPr>
              <w:t>NIR, numéro de sécurité sociale</w:t>
            </w:r>
          </w:p>
        </w:tc>
      </w:tr>
      <w:tr>
        <w:tc>
          <w:tcPr>
            <w:tcW w:type="dxa" w:w="1701"/>
          </w:tcPr>
          <w:p>
            <w:r>
              <w:rPr>
                <w:sz w:val="18"/>
              </w:rPr>
              <w:t>PASSEPORT</w:t>
            </w:r>
          </w:p>
        </w:tc>
        <w:tc>
          <w:tcPr>
            <w:tcW w:type="dxa" w:w="2268"/>
          </w:tcPr>
          <w:p>
            <w:r>
              <w:rPr>
                <w:sz w:val="18"/>
              </w:rPr>
              <w:t>Passeport</w:t>
            </w:r>
          </w:p>
        </w:tc>
        <w:tc>
          <w:tcPr>
            <w:tcW w:type="dxa" w:w="5669"/>
          </w:tcPr>
          <w:p>
            <w:r>
              <w:rPr>
                <w:sz w:val="18"/>
              </w:rPr>
              <w:t>Numéro de passeport</w:t>
            </w:r>
          </w:p>
        </w:tc>
      </w:tr>
      <w:tr>
        <w:tc>
          <w:tcPr>
            <w:tcW w:type="dxa" w:w="1701"/>
          </w:tcPr>
          <w:p>
            <w:r>
              <w:rPr>
                <w:sz w:val="18"/>
              </w:rPr>
              <w:t>CNI</w:t>
            </w:r>
          </w:p>
        </w:tc>
        <w:tc>
          <w:tcPr>
            <w:tcW w:type="dxa" w:w="2268"/>
          </w:tcPr>
          <w:p>
            <w:r>
              <w:rPr>
                <w:sz w:val="18"/>
              </w:rPr>
              <w:t>Carte d'identité</w:t>
            </w:r>
          </w:p>
        </w:tc>
        <w:tc>
          <w:tcPr>
            <w:tcW w:type="dxa" w:w="5669"/>
          </w:tcPr>
          <w:p>
            <w:r>
              <w:rPr>
                <w:sz w:val="18"/>
              </w:rPr>
              <w:t>Numéro de carte d'identité nationale</w:t>
            </w:r>
          </w:p>
        </w:tc>
      </w:tr>
      <w:tr>
        <w:tc>
          <w:tcPr>
            <w:tcW w:type="dxa" w:w="1701"/>
          </w:tcPr>
          <w:p>
            <w:r>
              <w:rPr>
                <w:sz w:val="18"/>
              </w:rPr>
              <w:t>PERMIS</w:t>
            </w:r>
          </w:p>
        </w:tc>
        <w:tc>
          <w:tcPr>
            <w:tcW w:type="dxa" w:w="2268"/>
          </w:tcPr>
          <w:p>
            <w:r>
              <w:rPr>
                <w:sz w:val="18"/>
              </w:rPr>
              <w:t>Permis de conduire</w:t>
            </w:r>
          </w:p>
        </w:tc>
        <w:tc>
          <w:tcPr>
            <w:tcW w:type="dxa" w:w="5669"/>
          </w:tcPr>
          <w:p>
            <w:r>
              <w:rPr>
                <w:sz w:val="18"/>
              </w:rPr>
              <w:t>Numéro de permis</w:t>
            </w:r>
          </w:p>
        </w:tc>
      </w:tr>
      <w:tr>
        <w:tc>
          <w:tcPr>
            <w:tcW w:type="dxa" w:w="1701"/>
          </w:tcPr>
          <w:p>
            <w:r>
              <w:rPr>
                <w:sz w:val="18"/>
              </w:rPr>
              <w:t>IP</w:t>
            </w:r>
          </w:p>
        </w:tc>
        <w:tc>
          <w:tcPr>
            <w:tcW w:type="dxa" w:w="2268"/>
          </w:tcPr>
          <w:p>
            <w:r>
              <w:rPr>
                <w:sz w:val="18"/>
              </w:rPr>
              <w:t>Adresse IP</w:t>
            </w:r>
          </w:p>
        </w:tc>
        <w:tc>
          <w:tcPr>
            <w:tcW w:type="dxa" w:w="5669"/>
          </w:tcPr>
          <w:p>
            <w:r>
              <w:rPr>
                <w:sz w:val="18"/>
              </w:rPr>
              <w:t>Adresse IP, identifiant de connexion</w:t>
            </w:r>
          </w:p>
        </w:tc>
      </w:tr>
      <w:tr>
        <w:tc>
          <w:tcPr>
            <w:tcW w:type="dxa" w:w="1701"/>
          </w:tcPr>
          <w:p>
            <w:r>
              <w:rPr>
                <w:sz w:val="18"/>
              </w:rPr>
              <w:t>GEOLOC</w:t>
            </w:r>
          </w:p>
        </w:tc>
        <w:tc>
          <w:tcPr>
            <w:tcW w:type="dxa" w:w="2268"/>
          </w:tcPr>
          <w:p>
            <w:r>
              <w:rPr>
                <w:sz w:val="18"/>
              </w:rPr>
              <w:t>Géolocalisation</w:t>
            </w:r>
          </w:p>
        </w:tc>
        <w:tc>
          <w:tcPr>
            <w:tcW w:type="dxa" w:w="5669"/>
          </w:tcPr>
          <w:p>
            <w:r>
              <w:rPr>
                <w:sz w:val="18"/>
              </w:rPr>
              <w:t>Coordonnées GPS</w:t>
            </w:r>
          </w:p>
        </w:tc>
      </w:tr>
      <w:tr>
        <w:tc>
          <w:tcPr>
            <w:tcW w:type="dxa" w:w="1701"/>
          </w:tcPr>
          <w:p>
            <w:r>
              <w:rPr>
                <w:sz w:val="18"/>
              </w:rPr>
              <w:t>IBAN</w:t>
            </w:r>
          </w:p>
        </w:tc>
        <w:tc>
          <w:tcPr>
            <w:tcW w:type="dxa" w:w="2268"/>
          </w:tcPr>
          <w:p>
            <w:r>
              <w:rPr>
                <w:sz w:val="18"/>
              </w:rPr>
              <w:t>IBAN / Compte bancaire</w:t>
            </w:r>
          </w:p>
        </w:tc>
        <w:tc>
          <w:tcPr>
            <w:tcW w:type="dxa" w:w="5669"/>
          </w:tcPr>
          <w:p>
            <w:r>
              <w:rPr>
                <w:sz w:val="18"/>
              </w:rPr>
              <w:t>IBAN, RIB, BIC</w:t>
            </w:r>
          </w:p>
        </w:tc>
      </w:tr>
      <w:tr>
        <w:tc>
          <w:tcPr>
            <w:tcW w:type="dxa" w:w="1701"/>
          </w:tcPr>
          <w:p>
            <w:r>
              <w:rPr>
                <w:sz w:val="18"/>
              </w:rPr>
              <w:t>CB</w:t>
            </w:r>
          </w:p>
        </w:tc>
        <w:tc>
          <w:tcPr>
            <w:tcW w:type="dxa" w:w="2268"/>
          </w:tcPr>
          <w:p>
            <w:r>
              <w:rPr>
                <w:sz w:val="18"/>
              </w:rPr>
              <w:t>Carte bancaire</w:t>
            </w:r>
          </w:p>
        </w:tc>
        <w:tc>
          <w:tcPr>
            <w:tcW w:type="dxa" w:w="5669"/>
          </w:tcPr>
          <w:p>
            <w:r>
              <w:rPr>
                <w:sz w:val="18"/>
              </w:rPr>
              <w:t>Numéro de carte de crédit/débit</w:t>
            </w:r>
          </w:p>
        </w:tc>
      </w:tr>
      <w:tr>
        <w:tc>
          <w:tcPr>
            <w:tcW w:type="dxa" w:w="1701"/>
          </w:tcPr>
          <w:p>
            <w:r>
              <w:rPr>
                <w:sz w:val="18"/>
              </w:rPr>
              <w:t>SALAIRE</w:t>
            </w:r>
          </w:p>
        </w:tc>
        <w:tc>
          <w:tcPr>
            <w:tcW w:type="dxa" w:w="2268"/>
          </w:tcPr>
          <w:p>
            <w:r>
              <w:rPr>
                <w:sz w:val="18"/>
              </w:rPr>
              <w:t>Salaire / Revenus</w:t>
            </w:r>
          </w:p>
        </w:tc>
        <w:tc>
          <w:tcPr>
            <w:tcW w:type="dxa" w:w="5669"/>
          </w:tcPr>
          <w:p>
            <w:r>
              <w:rPr>
                <w:sz w:val="18"/>
              </w:rPr>
              <w:t>Rémunération, salaire, revenus</w:t>
            </w:r>
          </w:p>
        </w:tc>
      </w:tr>
      <w:tr>
        <w:tc>
          <w:tcPr>
            <w:tcW w:type="dxa" w:w="1701"/>
          </w:tcPr>
          <w:p>
            <w:r>
              <w:rPr>
                <w:sz w:val="18"/>
              </w:rPr>
              <w:t>IMMAT</w:t>
            </w:r>
          </w:p>
        </w:tc>
        <w:tc>
          <w:tcPr>
            <w:tcW w:type="dxa" w:w="2268"/>
          </w:tcPr>
          <w:p>
            <w:r>
              <w:rPr>
                <w:sz w:val="18"/>
              </w:rPr>
              <w:t>Immatriculation</w:t>
            </w:r>
          </w:p>
        </w:tc>
        <w:tc>
          <w:tcPr>
            <w:tcW w:type="dxa" w:w="5669"/>
          </w:tcPr>
          <w:p>
            <w:r>
              <w:rPr>
                <w:sz w:val="18"/>
              </w:rPr>
              <w:t>Numéro d'immatriculation véhicule</w:t>
            </w:r>
          </w:p>
        </w:tc>
      </w:tr>
      <w:tr>
        <w:tc>
          <w:tcPr>
            <w:tcW w:type="dxa" w:w="1701"/>
          </w:tcPr>
          <w:p>
            <w:r>
              <w:rPr>
                <w:sz w:val="18"/>
              </w:rPr>
              <w:t>PHOTO</w:t>
            </w:r>
          </w:p>
        </w:tc>
        <w:tc>
          <w:tcPr>
            <w:tcW w:type="dxa" w:w="2268"/>
          </w:tcPr>
          <w:p>
            <w:r>
              <w:rPr>
                <w:sz w:val="18"/>
              </w:rPr>
              <w:t>Photo / Image</w:t>
            </w:r>
          </w:p>
        </w:tc>
        <w:tc>
          <w:tcPr>
            <w:tcW w:type="dxa" w:w="5669"/>
          </w:tcPr>
          <w:p>
            <w:r>
              <w:rPr>
                <w:sz w:val="18"/>
              </w:rPr>
              <w:t>Photo identifiant une personne</w:t>
            </w:r>
          </w:p>
        </w:tc>
      </w:tr>
      <w:tr>
        <w:tc>
          <w:tcPr>
            <w:tcW w:type="dxa" w:w="1701"/>
          </w:tcPr>
          <w:p>
            <w:r>
              <w:rPr>
                <w:sz w:val="18"/>
              </w:rPr>
              <w:t>ID_UNIQUE</w:t>
            </w:r>
          </w:p>
        </w:tc>
        <w:tc>
          <w:tcPr>
            <w:tcW w:type="dxa" w:w="2268"/>
          </w:tcPr>
          <w:p>
            <w:r>
              <w:rPr>
                <w:sz w:val="18"/>
              </w:rPr>
              <w:t>Identifiant unique</w:t>
            </w:r>
          </w:p>
        </w:tc>
        <w:tc>
          <w:tcPr>
            <w:tcW w:type="dxa" w:w="5669"/>
          </w:tcPr>
          <w:p>
            <w:r>
              <w:rPr>
                <w:sz w:val="18"/>
              </w:rPr>
              <w:t>ID client, employé, matricule</w:t>
            </w:r>
          </w:p>
        </w:tc>
      </w:tr>
    </w:tbl>
    <w:p/>
    <w:p>
      <w:pPr>
        <w:pStyle w:val="Heading2"/>
      </w:pPr>
      <w:r>
        <w:t>Article 9 — Données sensibles</w:t>
      </w:r>
    </w:p>
    <w:tbl>
      <w:tblPr>
        <w:tblStyle w:val="LightGrid-Accent1"/>
        <w:tblW w:type="auto" w:w="0"/>
        <w:jc w:val="center"/>
        <w:tblLook w:firstColumn="1" w:firstRow="1" w:lastColumn="0" w:lastRow="0" w:noHBand="0" w:noVBand="1" w:val="04A0"/>
      </w:tblPr>
      <w:tblGrid>
        <w:gridCol w:w="4320"/>
        <w:gridCol w:w="4320"/>
      </w:tblGrid>
      <w:tr>
        <w:tc>
          <w:tcPr>
            <w:tcW w:type="dxa" w:w="2268"/>
          </w:tcPr>
          <w:p>
            <w:r>
              <w:rPr>
                <w:b/>
                <w:sz w:val="18"/>
              </w:rPr>
              <w:t>Code</w:t>
            </w:r>
          </w:p>
        </w:tc>
        <w:tc>
          <w:tcPr>
            <w:tcW w:type="dxa" w:w="7370"/>
          </w:tcPr>
          <w:p>
            <w:r>
              <w:rPr>
                <w:b/>
                <w:sz w:val="18"/>
              </w:rPr>
              <w:t>Libellé</w:t>
            </w:r>
          </w:p>
        </w:tc>
      </w:tr>
      <w:tr>
        <w:tc>
          <w:tcPr>
            <w:tcW w:type="dxa" w:w="2268"/>
          </w:tcPr>
          <w:p>
            <w:r>
              <w:rPr>
                <w:sz w:val="18"/>
              </w:rPr>
              <w:t>ETHNIE</w:t>
            </w:r>
          </w:p>
        </w:tc>
        <w:tc>
          <w:tcPr>
            <w:tcW w:type="dxa" w:w="7370"/>
          </w:tcPr>
          <w:p>
            <w:r>
              <w:rPr>
                <w:sz w:val="18"/>
              </w:rPr>
              <w:t>Origine raciale ou ethnique</w:t>
            </w:r>
          </w:p>
        </w:tc>
      </w:tr>
      <w:tr>
        <w:tc>
          <w:tcPr>
            <w:tcW w:type="dxa" w:w="2268"/>
          </w:tcPr>
          <w:p>
            <w:r>
              <w:rPr>
                <w:sz w:val="18"/>
              </w:rPr>
              <w:t>POLITIQUE</w:t>
            </w:r>
          </w:p>
        </w:tc>
        <w:tc>
          <w:tcPr>
            <w:tcW w:type="dxa" w:w="7370"/>
          </w:tcPr>
          <w:p>
            <w:r>
              <w:rPr>
                <w:sz w:val="18"/>
              </w:rPr>
              <w:t>Opinions politiques</w:t>
            </w:r>
          </w:p>
        </w:tc>
      </w:tr>
      <w:tr>
        <w:tc>
          <w:tcPr>
            <w:tcW w:type="dxa" w:w="2268"/>
          </w:tcPr>
          <w:p>
            <w:r>
              <w:rPr>
                <w:sz w:val="18"/>
              </w:rPr>
              <w:t>RELIGION</w:t>
            </w:r>
          </w:p>
        </w:tc>
        <w:tc>
          <w:tcPr>
            <w:tcW w:type="dxa" w:w="7370"/>
          </w:tcPr>
          <w:p>
            <w:r>
              <w:rPr>
                <w:sz w:val="18"/>
              </w:rPr>
              <w:t>Convictions religieuses ou philosophiques</w:t>
            </w:r>
          </w:p>
        </w:tc>
      </w:tr>
      <w:tr>
        <w:tc>
          <w:tcPr>
            <w:tcW w:type="dxa" w:w="2268"/>
          </w:tcPr>
          <w:p>
            <w:r>
              <w:rPr>
                <w:sz w:val="18"/>
              </w:rPr>
              <w:t>SYNDICAT</w:t>
            </w:r>
          </w:p>
        </w:tc>
        <w:tc>
          <w:tcPr>
            <w:tcW w:type="dxa" w:w="7370"/>
          </w:tcPr>
          <w:p>
            <w:r>
              <w:rPr>
                <w:sz w:val="18"/>
              </w:rPr>
              <w:t>Appartenance syndicale</w:t>
            </w:r>
          </w:p>
        </w:tc>
      </w:tr>
      <w:tr>
        <w:tc>
          <w:tcPr>
            <w:tcW w:type="dxa" w:w="2268"/>
          </w:tcPr>
          <w:p>
            <w:r>
              <w:rPr>
                <w:sz w:val="18"/>
              </w:rPr>
              <w:t>GENETIQUE</w:t>
            </w:r>
          </w:p>
        </w:tc>
        <w:tc>
          <w:tcPr>
            <w:tcW w:type="dxa" w:w="7370"/>
          </w:tcPr>
          <w:p>
            <w:r>
              <w:rPr>
                <w:sz w:val="18"/>
              </w:rPr>
              <w:t>Données génétiques</w:t>
            </w:r>
          </w:p>
        </w:tc>
      </w:tr>
      <w:tr>
        <w:tc>
          <w:tcPr>
            <w:tcW w:type="dxa" w:w="2268"/>
          </w:tcPr>
          <w:p>
            <w:r>
              <w:rPr>
                <w:sz w:val="18"/>
              </w:rPr>
              <w:t>BIOMETRIE</w:t>
            </w:r>
          </w:p>
        </w:tc>
        <w:tc>
          <w:tcPr>
            <w:tcW w:type="dxa" w:w="7370"/>
          </w:tcPr>
          <w:p>
            <w:r>
              <w:rPr>
                <w:sz w:val="18"/>
              </w:rPr>
              <w:t>Données biométriques</w:t>
            </w:r>
          </w:p>
        </w:tc>
      </w:tr>
      <w:tr>
        <w:tc>
          <w:tcPr>
            <w:tcW w:type="dxa" w:w="2268"/>
          </w:tcPr>
          <w:p>
            <w:r>
              <w:rPr>
                <w:sz w:val="18"/>
              </w:rPr>
              <w:t>SANTE</w:t>
            </w:r>
          </w:p>
        </w:tc>
        <w:tc>
          <w:tcPr>
            <w:tcW w:type="dxa" w:w="7370"/>
          </w:tcPr>
          <w:p>
            <w:r>
              <w:rPr>
                <w:sz w:val="18"/>
              </w:rPr>
              <w:t>Données de santé</w:t>
            </w:r>
          </w:p>
        </w:tc>
      </w:tr>
      <w:tr>
        <w:tc>
          <w:tcPr>
            <w:tcW w:type="dxa" w:w="2268"/>
          </w:tcPr>
          <w:p>
            <w:r>
              <w:rPr>
                <w:sz w:val="18"/>
              </w:rPr>
              <w:t>SEXUALITE</w:t>
            </w:r>
          </w:p>
        </w:tc>
        <w:tc>
          <w:tcPr>
            <w:tcW w:type="dxa" w:w="7370"/>
          </w:tcPr>
          <w:p>
            <w:r>
              <w:rPr>
                <w:sz w:val="18"/>
              </w:rPr>
              <w:t>Vie sexuelle / orientation sexuelle</w:t>
            </w:r>
          </w:p>
        </w:tc>
      </w:tr>
    </w:tbl>
    <w:p/>
    <w:p>
      <w:pPr>
        <w:pStyle w:val="Heading2"/>
      </w:pPr>
      <w:r>
        <w:t>Article 10 — Données pénales</w:t>
      </w:r>
    </w:p>
    <w:tbl>
      <w:tblPr>
        <w:tblStyle w:val="LightGrid-Accent1"/>
        <w:tblW w:type="auto" w:w="0"/>
        <w:jc w:val="center"/>
        <w:tblLook w:firstColumn="1" w:firstRow="1" w:lastColumn="0" w:lastRow="0" w:noHBand="0" w:noVBand="1" w:val="04A0"/>
      </w:tblPr>
      <w:tblGrid>
        <w:gridCol w:w="4320"/>
        <w:gridCol w:w="4320"/>
      </w:tblGrid>
      <w:tr>
        <w:tc>
          <w:tcPr>
            <w:tcW w:type="dxa" w:w="2268"/>
          </w:tcPr>
          <w:p>
            <w:r>
              <w:rPr>
                <w:b/>
                <w:sz w:val="18"/>
              </w:rPr>
              <w:t>Code</w:t>
            </w:r>
          </w:p>
        </w:tc>
        <w:tc>
          <w:tcPr>
            <w:tcW w:type="dxa" w:w="7370"/>
          </w:tcPr>
          <w:p>
            <w:r>
              <w:rPr>
                <w:b/>
                <w:sz w:val="18"/>
              </w:rPr>
              <w:t>Libellé</w:t>
            </w:r>
          </w:p>
        </w:tc>
      </w:tr>
      <w:tr>
        <w:tc>
          <w:tcPr>
            <w:tcW w:type="dxa" w:w="2268"/>
          </w:tcPr>
          <w:p>
            <w:r>
              <w:rPr>
                <w:sz w:val="18"/>
              </w:rPr>
              <w:t>PENAL</w:t>
            </w:r>
          </w:p>
        </w:tc>
        <w:tc>
          <w:tcPr>
            <w:tcW w:type="dxa" w:w="7370"/>
          </w:tcPr>
          <w:p>
            <w:r>
              <w:rPr>
                <w:sz w:val="18"/>
              </w:rPr>
              <w:t>Condamnations pénales et infractions</w:t>
            </w:r>
          </w:p>
        </w:tc>
      </w:tr>
    </w:tbl>
    <w:p/>
    <w:p>
      <w:r>
        <w:br w:type="page"/>
      </w:r>
    </w:p>
    <w:p>
      <w:pPr>
        <w:pStyle w:val="Heading1"/>
      </w:pPr>
      <w:r>
        <w:t>9. Formats de fichiers supportés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r>
              <w:rPr>
                <w:b/>
                <w:sz w:val="18"/>
              </w:rPr>
              <w:t>Format</w:t>
            </w:r>
          </w:p>
        </w:tc>
        <w:tc>
          <w:tcPr>
            <w:tcW w:type="dxa" w:w="1701"/>
          </w:tcPr>
          <w:p>
            <w:r>
              <w:rPr>
                <w:b/>
                <w:sz w:val="18"/>
              </w:rPr>
              <w:t>Extension</w:t>
            </w:r>
          </w:p>
        </w:tc>
        <w:tc>
          <w:tcPr>
            <w:tcW w:type="dxa" w:w="2835"/>
          </w:tcPr>
          <w:p>
            <w:r>
              <w:rPr>
                <w:b/>
                <w:sz w:val="18"/>
              </w:rPr>
              <w:t>Mode</w:t>
            </w:r>
          </w:p>
        </w:tc>
        <w:tc>
          <w:tcPr>
            <w:tcW w:type="dxa" w:w="2835"/>
          </w:tcPr>
          <w:p>
            <w:r>
              <w:rPr>
                <w:b/>
                <w:sz w:val="18"/>
              </w:rPr>
              <w:t>Bibliothèque</w:t>
            </w:r>
          </w:p>
        </w:tc>
      </w:tr>
      <w:tr>
        <w:tc>
          <w:tcPr>
            <w:tcW w:type="dxa" w:w="1701"/>
          </w:tcPr>
          <w:p>
            <w:r>
              <w:rPr>
                <w:sz w:val="18"/>
              </w:rPr>
              <w:t>Excel</w:t>
            </w:r>
          </w:p>
        </w:tc>
        <w:tc>
          <w:tcPr>
            <w:tcW w:type="dxa" w:w="1701"/>
          </w:tcPr>
          <w:p>
            <w:r>
              <w:rPr>
                <w:sz w:val="18"/>
              </w:rPr>
              <w:t>.xlsx, .xls</w:t>
            </w:r>
          </w:p>
        </w:tc>
        <w:tc>
          <w:tcPr>
            <w:tcW w:type="dxa" w:w="2835"/>
          </w:tcPr>
          <w:p>
            <w:r>
              <w:rPr>
                <w:sz w:val="18"/>
              </w:rPr>
              <w:t>file (tabulaire)</w:t>
            </w:r>
          </w:p>
        </w:tc>
        <w:tc>
          <w:tcPr>
            <w:tcW w:type="dxa" w:w="2835"/>
          </w:tcPr>
          <w:p>
            <w:r>
              <w:rPr>
                <w:sz w:val="18"/>
              </w:rPr>
              <w:t>openpyxl / pandas</w:t>
            </w:r>
          </w:p>
        </w:tc>
      </w:tr>
      <w:tr>
        <w:tc>
          <w:tcPr>
            <w:tcW w:type="dxa" w:w="1701"/>
          </w:tcPr>
          <w:p>
            <w:r>
              <w:rPr>
                <w:sz w:val="18"/>
              </w:rPr>
              <w:t>CSV</w:t>
            </w:r>
          </w:p>
        </w:tc>
        <w:tc>
          <w:tcPr>
            <w:tcW w:type="dxa" w:w="1701"/>
          </w:tcPr>
          <w:p>
            <w:r>
              <w:rPr>
                <w:sz w:val="18"/>
              </w:rPr>
              <w:t>.csv</w:t>
            </w:r>
          </w:p>
        </w:tc>
        <w:tc>
          <w:tcPr>
            <w:tcW w:type="dxa" w:w="2835"/>
          </w:tcPr>
          <w:p>
            <w:r>
              <w:rPr>
                <w:sz w:val="18"/>
              </w:rPr>
              <w:t>file (tabulaire)</w:t>
            </w:r>
          </w:p>
        </w:tc>
        <w:tc>
          <w:tcPr>
            <w:tcW w:type="dxa" w:w="2835"/>
          </w:tcPr>
          <w:p>
            <w:r>
              <w:rPr>
                <w:sz w:val="18"/>
              </w:rPr>
              <w:t>pandas</w:t>
            </w:r>
          </w:p>
        </w:tc>
      </w:tr>
      <w:tr>
        <w:tc>
          <w:tcPr>
            <w:tcW w:type="dxa" w:w="1701"/>
          </w:tcPr>
          <w:p>
            <w:r>
              <w:rPr>
                <w:sz w:val="18"/>
              </w:rPr>
              <w:t>PDF</w:t>
            </w:r>
          </w:p>
        </w:tc>
        <w:tc>
          <w:tcPr>
            <w:tcW w:type="dxa" w:w="1701"/>
          </w:tcPr>
          <w:p>
            <w:r>
              <w:rPr>
                <w:sz w:val="18"/>
              </w:rPr>
              <w:t>.pdf</w:t>
            </w:r>
          </w:p>
        </w:tc>
        <w:tc>
          <w:tcPr>
            <w:tcW w:type="dxa" w:w="2835"/>
          </w:tcPr>
          <w:p>
            <w:r>
              <w:rPr>
                <w:sz w:val="18"/>
              </w:rPr>
              <w:t>text (extraction)</w:t>
            </w:r>
          </w:p>
        </w:tc>
        <w:tc>
          <w:tcPr>
            <w:tcW w:type="dxa" w:w="2835"/>
          </w:tcPr>
          <w:p>
            <w:r>
              <w:rPr>
                <w:sz w:val="18"/>
              </w:rPr>
              <w:t>pdfplumber</w:t>
            </w:r>
          </w:p>
        </w:tc>
      </w:tr>
    </w:tbl>
    <w:p/>
    <w:p>
      <w:r>
        <w:t>Mode tabulaire : le fichier est chargé en DataFrame pandas. La détection s'effectue par colonnes (noms de colonnes + échantillons de valeurs). Le fichier anonymisé est régénéré au même format.</w:t>
      </w:r>
    </w:p>
    <w:p>
      <w:r>
        <w:t>Mode texte : le texte est extrait du PDF page par page. La détection s'effectue sur le texte complet via la détection hybride (regex + LLM).</w:t>
      </w:r>
    </w:p>
    <w:p>
      <w:pPr>
        <w:pStyle w:val="Heading1"/>
      </w:pPr>
      <w:r>
        <w:t>10. Configuration</w:t>
      </w:r>
    </w:p>
    <w:p>
      <w:r>
        <w:t>Toute la configuration se fait via des variables d'environnement préfixées SAROS_ANON_. Elles peuvent aussi être définies dans un fichier .env.</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tcPr>
          <w:p>
            <w:r>
              <w:rPr>
                <w:b/>
                <w:sz w:val="18"/>
              </w:rPr>
              <w:t>Variable</w:t>
            </w:r>
          </w:p>
        </w:tc>
        <w:tc>
          <w:tcPr>
            <w:tcW w:type="dxa" w:w="2268"/>
          </w:tcPr>
          <w:p>
            <w:r>
              <w:rPr>
                <w:b/>
                <w:sz w:val="18"/>
              </w:rPr>
              <w:t>Défaut</w:t>
            </w:r>
          </w:p>
        </w:tc>
        <w:tc>
          <w:tcPr>
            <w:tcW w:type="dxa" w:w="3969"/>
          </w:tcPr>
          <w:p>
            <w:r>
              <w:rPr>
                <w:b/>
                <w:sz w:val="18"/>
              </w:rPr>
              <w:t>Description</w:t>
            </w:r>
          </w:p>
        </w:tc>
      </w:tr>
      <w:tr>
        <w:tc>
          <w:tcPr>
            <w:tcW w:type="dxa" w:w="3402"/>
          </w:tcPr>
          <w:p>
            <w:r>
              <w:rPr>
                <w:sz w:val="18"/>
              </w:rPr>
              <w:t>SAROS_ANON_FILE_STORAGE_PATH</w:t>
            </w:r>
          </w:p>
        </w:tc>
        <w:tc>
          <w:tcPr>
            <w:tcW w:type="dxa" w:w="2268"/>
          </w:tcPr>
          <w:p>
            <w:r>
              <w:rPr>
                <w:sz w:val="18"/>
              </w:rPr>
              <w:t>/data/files</w:t>
            </w:r>
          </w:p>
        </w:tc>
        <w:tc>
          <w:tcPr>
            <w:tcW w:type="dxa" w:w="3969"/>
          </w:tcPr>
          <w:p>
            <w:r>
              <w:rPr>
                <w:sz w:val="18"/>
              </w:rPr>
              <w:t>Dossier de stockage des fichiers uploadés</w:t>
            </w:r>
          </w:p>
        </w:tc>
      </w:tr>
      <w:tr>
        <w:tc>
          <w:tcPr>
            <w:tcW w:type="dxa" w:w="3402"/>
          </w:tcPr>
          <w:p>
            <w:r>
              <w:rPr>
                <w:sz w:val="18"/>
              </w:rPr>
              <w:t>SAROS_ANON_OLLAMA_BASE_URL</w:t>
            </w:r>
          </w:p>
        </w:tc>
        <w:tc>
          <w:tcPr>
            <w:tcW w:type="dxa" w:w="2268"/>
          </w:tcPr>
          <w:p>
            <w:r>
              <w:rPr>
                <w:sz w:val="18"/>
              </w:rPr>
              <w:t>http://localhost:11434</w:t>
            </w:r>
          </w:p>
        </w:tc>
        <w:tc>
          <w:tcPr>
            <w:tcW w:type="dxa" w:w="3969"/>
          </w:tcPr>
          <w:p>
            <w:r>
              <w:rPr>
                <w:sz w:val="18"/>
              </w:rPr>
              <w:t>URL du serveur Ollama</w:t>
            </w:r>
          </w:p>
        </w:tc>
      </w:tr>
      <w:tr>
        <w:tc>
          <w:tcPr>
            <w:tcW w:type="dxa" w:w="3402"/>
          </w:tcPr>
          <w:p>
            <w:r>
              <w:rPr>
                <w:sz w:val="18"/>
              </w:rPr>
              <w:t>SAROS_ANON_OLLAMA_MODEL</w:t>
            </w:r>
          </w:p>
        </w:tc>
        <w:tc>
          <w:tcPr>
            <w:tcW w:type="dxa" w:w="2268"/>
          </w:tcPr>
          <w:p>
            <w:r>
              <w:rPr>
                <w:sz w:val="18"/>
              </w:rPr>
              <w:t>qwen2.5:14b-instruct</w:t>
            </w:r>
          </w:p>
        </w:tc>
        <w:tc>
          <w:tcPr>
            <w:tcW w:type="dxa" w:w="3969"/>
          </w:tcPr>
          <w:p>
            <w:r>
              <w:rPr>
                <w:sz w:val="18"/>
              </w:rPr>
              <w:t>Modèle LLM local pour la détection</w:t>
            </w:r>
          </w:p>
        </w:tc>
      </w:tr>
      <w:tr>
        <w:tc>
          <w:tcPr>
            <w:tcW w:type="dxa" w:w="3402"/>
          </w:tcPr>
          <w:p>
            <w:r>
              <w:rPr>
                <w:sz w:val="18"/>
              </w:rPr>
              <w:t>SAROS_ANON_ENCRYPTION_KEY</w:t>
            </w:r>
          </w:p>
        </w:tc>
        <w:tc>
          <w:tcPr>
            <w:tcW w:type="dxa" w:w="2268"/>
          </w:tcPr>
          <w:p>
            <w:r>
              <w:rPr>
                <w:sz w:val="18"/>
              </w:rPr>
              <w:t>(auto-généré)</w:t>
            </w:r>
          </w:p>
        </w:tc>
        <w:tc>
          <w:tcPr>
            <w:tcW w:type="dxa" w:w="3969"/>
          </w:tcPr>
          <w:p>
            <w:r>
              <w:rPr>
                <w:sz w:val="18"/>
              </w:rPr>
              <w:t>Clé Fernet partagée (optionnel)</w:t>
            </w:r>
          </w:p>
        </w:tc>
      </w:tr>
      <w:tr>
        <w:tc>
          <w:tcPr>
            <w:tcW w:type="dxa" w:w="3402"/>
          </w:tcPr>
          <w:p>
            <w:r>
              <w:rPr>
                <w:sz w:val="18"/>
              </w:rPr>
              <w:t>SAROS_ANON_ANTHROPIC_API_KEY</w:t>
            </w:r>
          </w:p>
        </w:tc>
        <w:tc>
          <w:tcPr>
            <w:tcW w:type="dxa" w:w="2268"/>
          </w:tcPr>
          <w:p>
            <w:r>
              <w:rPr>
                <w:sz w:val="18"/>
              </w:rPr>
              <w:t>—</w:t>
            </w:r>
          </w:p>
        </w:tc>
        <w:tc>
          <w:tcPr>
            <w:tcW w:type="dxa" w:w="3969"/>
          </w:tcPr>
          <w:p>
            <w:r>
              <w:rPr>
                <w:sz w:val="18"/>
              </w:rPr>
              <w:t>Clé API Anthropic (Claude)</w:t>
            </w:r>
          </w:p>
        </w:tc>
      </w:tr>
      <w:tr>
        <w:tc>
          <w:tcPr>
            <w:tcW w:type="dxa" w:w="3402"/>
          </w:tcPr>
          <w:p>
            <w:r>
              <w:rPr>
                <w:sz w:val="18"/>
              </w:rPr>
              <w:t>SAROS_ANON_OPENAI_API_KEY</w:t>
            </w:r>
          </w:p>
        </w:tc>
        <w:tc>
          <w:tcPr>
            <w:tcW w:type="dxa" w:w="2268"/>
          </w:tcPr>
          <w:p>
            <w:r>
              <w:rPr>
                <w:sz w:val="18"/>
              </w:rPr>
              <w:t>—</w:t>
            </w:r>
          </w:p>
        </w:tc>
        <w:tc>
          <w:tcPr>
            <w:tcW w:type="dxa" w:w="3969"/>
          </w:tcPr>
          <w:p>
            <w:r>
              <w:rPr>
                <w:sz w:val="18"/>
              </w:rPr>
              <w:t>Clé API OpenAI (GPT)</w:t>
            </w:r>
          </w:p>
        </w:tc>
      </w:tr>
    </w:tbl>
    <w:p/>
    <w:p>
      <w:pPr>
        <w:pStyle w:val="Heading1"/>
      </w:pPr>
      <w:r>
        <w:t>11. Structure des fichiers</w:t>
      </w:r>
    </w:p>
    <w:p>
      <w:r>
        <w:t>Stockage sur le serveur :</w:t>
      </w:r>
    </w:p>
    <w:p>
      <w:pPr>
        <w:spacing w:before="120" w:after="120"/>
        <w:ind w:left="567"/>
      </w:pPr>
      <w:r>
        <w:rPr>
          <w:rFonts w:ascii="Courier New" w:hAnsi="Courier New"/>
          <w:color w:val="1E1E1E"/>
          <w:sz w:val="16"/>
        </w:rPr>
        <w:t>{FILE_STORAGE_PATH}/</w:t>
        <w:br/>
        <w:t>├── {fileId}/</w:t>
        <w:br/>
        <w:t>│   └── {fileName}              ← fichier original uploadé</w:t>
        <w:br/>
        <w:t>├── anon-{uuid}/</w:t>
        <w:br/>
        <w:t>│   ├── anonymized_{fileName}   ← fichier anonymisé</w:t>
        <w:br/>
        <w:t>│   └── mappings_anonymized_{stem}.json  ← table de dé-anonymisation</w:t>
      </w:r>
    </w:p>
    <w:p>
      <w:r>
        <w:t>Structure du fichier mappings :</w:t>
      </w:r>
    </w:p>
    <w:p>
      <w:pPr>
        <w:spacing w:before="120" w:after="120"/>
        <w:ind w:left="567"/>
      </w:pPr>
      <w:r>
        <w:rPr>
          <w:rFonts w:ascii="Courier New" w:hAnsi="Courier New"/>
          <w:color w:val="1E1E1E"/>
          <w:sz w:val="16"/>
        </w:rPr>
        <w:t>{</w:t>
        <w:br/>
        <w:t xml:space="preserve">  "placeholder_mappings": {</w:t>
        <w:br/>
        <w:t xml:space="preserve">    "NOM": {</w:t>
        <w:br/>
        <w:t xml:space="preserve">      "[NOM_1]": "Vincent Dupont",</w:t>
        <w:br/>
        <w:t xml:space="preserve">      "[NOM_2]": "Marie Martin"</w:t>
        <w:br/>
        <w:t xml:space="preserve">    },</w:t>
        <w:br/>
        <w:t xml:space="preserve">    "EMAIL": {</w:t>
        <w:br/>
        <w:t xml:space="preserve">      "[EMAIL_1]": "vxhaet@gmail.com"</w:t>
        <w:br/>
        <w:t xml:space="preserve">    }</w:t>
        <w:br/>
        <w:t xml:space="preserve">  },</w:t>
        <w:br/>
        <w:t xml:space="preserve">  "encryption_key": "tAXSB1QHivugy-..."</w:t>
        <w:br/>
        <w:t>}</w:t>
      </w:r>
    </w:p>
    <w:p>
      <w:r>
        <w:br w:type="page"/>
      </w:r>
    </w:p>
    <w:p>
      <w:pPr>
        <w:pStyle w:val="Heading1"/>
      </w:pPr>
      <w:r>
        <w:t>12. Contrats d'API (JSON)</w:t>
      </w:r>
    </w:p>
    <w:p>
      <w:pPr>
        <w:pStyle w:val="Heading2"/>
      </w:pPr>
      <w:r>
        <w:t>Requête d'entrée (depuis l'orchestration)</w:t>
      </w:r>
    </w:p>
    <w:p>
      <w:pPr>
        <w:spacing w:before="120" w:after="120"/>
        <w:ind w:left="567"/>
      </w:pPr>
      <w:r>
        <w:rPr>
          <w:rFonts w:ascii="Courier New" w:hAnsi="Courier New"/>
          <w:color w:val="1E1E1E"/>
          <w:sz w:val="16"/>
        </w:rPr>
        <w:t>{</w:t>
        <w:br/>
        <w:t xml:space="preserve">  "requestId": "9f3c8c7e-...",</w:t>
        <w:br/>
        <w:t xml:space="preserve">  "userId": "12345",</w:t>
        <w:br/>
        <w:t xml:space="preserve">  "conversationId": "conv-789",</w:t>
        <w:br/>
        <w:t xml:space="preserve">  "message": "Anonymise cette facture...",</w:t>
        <w:br/>
        <w:t xml:space="preserve">  "files": [</w:t>
        <w:br/>
        <w:t xml:space="preserve">    {</w:t>
        <w:br/>
        <w:t xml:space="preserve">      "fileId": "file-001",</w:t>
        <w:br/>
        <w:t xml:space="preserve">      "name": "clients.xlsx",</w:t>
        <w:br/>
        <w:t xml:space="preserve">      "mimeType": "application/vnd.openxmlformats-...",</w:t>
        <w:br/>
        <w:t xml:space="preserve">      "size": 152340</w:t>
        <w:br/>
        <w:t xml:space="preserve">    }</w:t>
        <w:br/>
        <w:t xml:space="preserve">  ],</w:t>
        <w:br/>
        <w:t xml:space="preserve">  "context": {</w:t>
        <w:br/>
        <w:t xml:space="preserve">    "application": "my_application",</w:t>
        <w:br/>
        <w:t xml:space="preserve">    "language": "fr"</w:t>
        <w:br/>
        <w:t xml:space="preserve">  }</w:t>
        <w:br/>
        <w:t>}</w:t>
      </w:r>
    </w:p>
    <w:p>
      <w:pPr>
        <w:pStyle w:val="Heading2"/>
      </w:pPr>
      <w:r>
        <w:t>Réponse de détection</w:t>
      </w:r>
    </w:p>
    <w:p>
      <w:pPr>
        <w:spacing w:before="120" w:after="120"/>
        <w:ind w:left="567"/>
      </w:pPr>
      <w:r>
        <w:rPr>
          <w:rFonts w:ascii="Courier New" w:hAnsi="Courier New"/>
          <w:color w:val="1E1E1E"/>
          <w:sz w:val="16"/>
        </w:rPr>
        <w:t>{</w:t>
        <w:br/>
        <w:t xml:space="preserve">  "requestId": "9f3c...",</w:t>
        <w:br/>
        <w:t xml:space="preserve">  "status": "pending_validation",</w:t>
        <w:br/>
        <w:t xml:space="preserve">  "mode": "text",</w:t>
        <w:br/>
        <w:t xml:space="preserve">  "detectedEntities": [</w:t>
        <w:br/>
        <w:t xml:space="preserve">    {</w:t>
        <w:br/>
        <w:t xml:space="preserve">      "value": "Vincent Dupont",</w:t>
        <w:br/>
        <w:t xml:space="preserve">      "category": "NOM",</w:t>
        <w:br/>
        <w:t xml:space="preserve">      "rgpdArticle": "Article 4",</w:t>
        <w:br/>
        <w:t xml:space="preserve">      "recommendedStrategy": "placeholder",</w:t>
        <w:br/>
        <w:t xml:space="preserve">      "justification": "Nom identifiant une personne"</w:t>
        <w:br/>
        <w:t xml:space="preserve">    }</w:t>
        <w:br/>
        <w:t xml:space="preserve">  ],</w:t>
        <w:br/>
        <w:t xml:space="preserve">  "originalMessage": "..."</w:t>
        <w:br/>
        <w:t>}</w:t>
      </w:r>
    </w:p>
    <w:p>
      <w:pPr>
        <w:pStyle w:val="Heading2"/>
      </w:pPr>
      <w:r>
        <w:t>Requête d'exécution (après validation)</w:t>
      </w:r>
    </w:p>
    <w:p>
      <w:pPr>
        <w:spacing w:before="120" w:after="120"/>
        <w:ind w:left="567"/>
      </w:pPr>
      <w:r>
        <w:rPr>
          <w:rFonts w:ascii="Courier New" w:hAnsi="Courier New"/>
          <w:color w:val="1E1E1E"/>
          <w:sz w:val="16"/>
        </w:rPr>
        <w:t>{</w:t>
        <w:br/>
        <w:t xml:space="preserve">  "requestId": "9f3c...",</w:t>
        <w:br/>
        <w:t xml:space="preserve">  "userId": "12345",</w:t>
        <w:br/>
        <w:t xml:space="preserve">  "validatedEntities": [</w:t>
        <w:br/>
        <w:t xml:space="preserve">    {"value": "Vincent Dupont", "category": "NOM", "strategy": "placeholder"},</w:t>
        <w:br/>
        <w:t xml:space="preserve">    {"value": "BE36 0019 8525 8681", "category": "IBAN", "strategy": "encryption"}</w:t>
        <w:br/>
        <w:t xml:space="preserve">  ]</w:t>
        <w:br/>
        <w:t>}</w:t>
      </w:r>
    </w:p>
    <w:p>
      <w:pPr>
        <w:pStyle w:val="Heading2"/>
      </w:pPr>
      <w:r>
        <w:t>Requête envoi LLM</w:t>
      </w:r>
    </w:p>
    <w:p>
      <w:pPr>
        <w:spacing w:before="120" w:after="120"/>
        <w:ind w:left="567"/>
      </w:pPr>
      <w:r>
        <w:rPr>
          <w:rFonts w:ascii="Courier New" w:hAnsi="Courier New"/>
          <w:color w:val="1E1E1E"/>
          <w:sz w:val="16"/>
        </w:rPr>
        <w:t>{</w:t>
        <w:br/>
        <w:t xml:space="preserve">  "requestId": "9f3c...",</w:t>
        <w:br/>
        <w:t xml:space="preserve">  "userId": "12345",</w:t>
        <w:br/>
        <w:t xml:space="preserve">  "content": "Quel est le salaire total de [NOM_1] ...",</w:t>
        <w:br/>
        <w:t xml:space="preserve">  "targetLlm": "claude-sonnet-4-6"</w:t>
        <w:br/>
        <w:t>}</w:t>
      </w:r>
    </w:p>
    <w:p>
      <w:pPr>
        <w:pStyle w:val="Heading2"/>
      </w:pPr>
      <w:r>
        <w:t>Requête dé-anonymisation</w:t>
      </w:r>
    </w:p>
    <w:p>
      <w:pPr>
        <w:spacing w:before="120" w:after="120"/>
        <w:ind w:left="567"/>
      </w:pPr>
      <w:r>
        <w:rPr>
          <w:rFonts w:ascii="Courier New" w:hAnsi="Courier New"/>
          <w:color w:val="1E1E1E"/>
          <w:sz w:val="16"/>
        </w:rPr>
        <w:t>{</w:t>
        <w:br/>
        <w:t xml:space="preserve">  "requestId": "9f3c...",</w:t>
        <w:br/>
        <w:t xml:space="preserve">  "text": "Le salaire total de [NOM_1] est 1200 EUR.",</w:t>
        <w:br/>
        <w:t xml:space="preserve">  "mappings": {</w:t>
        <w:br/>
        <w:t xml:space="preserve">    "placeholder_mappings": {</w:t>
        <w:br/>
        <w:t xml:space="preserve">      "NOM": {"[NOM_1]": "Vincent Dupont"}</w:t>
        <w:br/>
        <w:t xml:space="preserve">    },</w:t>
        <w:br/>
        <w:t xml:space="preserve">    "encryption_key": "tAXSB1..."</w:t>
        <w:br/>
        <w:t xml:space="preserve">  }</w:t>
        <w:br/>
        <w:t>}</w:t>
      </w:r>
    </w:p>
    <w:p>
      <w:r>
        <w:br w:type="page"/>
      </w:r>
    </w:p>
    <w:p>
      <w:pPr>
        <w:pStyle w:val="Heading1"/>
      </w:pPr>
      <w:r>
        <w:t>13. Exemple de flux complet</w:t>
      </w:r>
    </w:p>
    <w:p>
      <w:r>
        <w:t>Cet exemple illustre le traitement complet d'une demande utilisateur sur un texte contenant des données personnelles.</w:t>
      </w:r>
    </w:p>
    <w:p>
      <w:pPr>
        <w:pStyle w:val="Heading2"/>
      </w:pPr>
      <w:r>
        <w:t>Demande utilisateur</w:t>
      </w:r>
    </w:p>
    <w:p>
      <w:r>
        <w:rPr>
          <w:i/>
        </w:rPr>
        <w:t>« Peux-tu me dire quel est le salaire total de Vincent Dupont né le 17/06/1987 sachant qu'il gagne 1000 + 200 ? »</w:t>
      </w:r>
    </w:p>
    <w:p>
      <w:pPr>
        <w:pStyle w:val="Heading2"/>
      </w:pPr>
      <w:r>
        <w:t>Étape 1 — Détection</w:t>
      </w:r>
    </w:p>
    <w:p>
      <w:r>
        <w:t>Le module détecte les entités sensibles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35"/>
          </w:tcPr>
          <w:p>
            <w:r>
              <w:rPr>
                <w:b/>
                <w:sz w:val="18"/>
              </w:rPr>
              <w:t>Valeur</w:t>
            </w:r>
          </w:p>
        </w:tc>
        <w:tc>
          <w:tcPr>
            <w:tcW w:type="dxa" w:w="1701"/>
          </w:tcPr>
          <w:p>
            <w:r>
              <w:rPr>
                <w:b/>
                <w:sz w:val="18"/>
              </w:rPr>
              <w:t>Catégorie</w:t>
            </w:r>
          </w:p>
        </w:tc>
        <w:tc>
          <w:tcPr>
            <w:tcW w:type="dxa" w:w="1701"/>
          </w:tcPr>
          <w:p>
            <w:r>
              <w:rPr>
                <w:b/>
                <w:sz w:val="18"/>
              </w:rPr>
              <w:t>Stratégie</w:t>
            </w:r>
          </w:p>
        </w:tc>
        <w:tc>
          <w:tcPr>
            <w:tcW w:type="dxa" w:w="1701"/>
          </w:tcPr>
          <w:p>
            <w:r>
              <w:rPr>
                <w:b/>
                <w:sz w:val="18"/>
              </w:rPr>
              <w:t>Source</w:t>
            </w:r>
          </w:p>
        </w:tc>
      </w:tr>
      <w:tr>
        <w:tc>
          <w:tcPr>
            <w:tcW w:type="dxa" w:w="2835"/>
          </w:tcPr>
          <w:p>
            <w:r>
              <w:rPr>
                <w:sz w:val="18"/>
              </w:rPr>
              <w:t>Vincent Dupont</w:t>
            </w:r>
          </w:p>
        </w:tc>
        <w:tc>
          <w:tcPr>
            <w:tcW w:type="dxa" w:w="1701"/>
          </w:tcPr>
          <w:p>
            <w:r>
              <w:rPr>
                <w:sz w:val="18"/>
              </w:rPr>
              <w:t>NOM</w:t>
            </w:r>
          </w:p>
        </w:tc>
        <w:tc>
          <w:tcPr>
            <w:tcW w:type="dxa" w:w="1701"/>
          </w:tcPr>
          <w:p>
            <w:r>
              <w:rPr>
                <w:sz w:val="18"/>
              </w:rPr>
              <w:t>placeholder</w:t>
            </w:r>
          </w:p>
        </w:tc>
        <w:tc>
          <w:tcPr>
            <w:tcW w:type="dxa" w:w="1701"/>
          </w:tcPr>
          <w:p>
            <w:r>
              <w:rPr>
                <w:sz w:val="18"/>
              </w:rPr>
              <w:t>LLM</w:t>
            </w:r>
          </w:p>
        </w:tc>
      </w:tr>
      <w:tr>
        <w:tc>
          <w:tcPr>
            <w:tcW w:type="dxa" w:w="2835"/>
          </w:tcPr>
          <w:p>
            <w:r>
              <w:rPr>
                <w:sz w:val="18"/>
              </w:rPr>
              <w:t>17/06/1987</w:t>
            </w:r>
          </w:p>
        </w:tc>
        <w:tc>
          <w:tcPr>
            <w:tcW w:type="dxa" w:w="1701"/>
          </w:tcPr>
          <w:p>
            <w:r>
              <w:rPr>
                <w:sz w:val="18"/>
              </w:rPr>
              <w:t>DATE_NAISS</w:t>
            </w:r>
          </w:p>
        </w:tc>
        <w:tc>
          <w:tcPr>
            <w:tcW w:type="dxa" w:w="1701"/>
          </w:tcPr>
          <w:p>
            <w:r>
              <w:rPr>
                <w:sz w:val="18"/>
              </w:rPr>
              <w:t>placeholder</w:t>
            </w:r>
          </w:p>
        </w:tc>
        <w:tc>
          <w:tcPr>
            <w:tcW w:type="dxa" w:w="1701"/>
          </w:tcPr>
          <w:p>
            <w:r>
              <w:rPr>
                <w:sz w:val="18"/>
              </w:rPr>
              <w:t>LLM</w:t>
            </w:r>
          </w:p>
        </w:tc>
      </w:tr>
    </w:tbl>
    <w:p/>
    <w:p>
      <w:r>
        <w:t>Le LLM comprend que les montants 1000 et 200 sont nécessaires au calcul et ne les inclut pas dans la liste.</w:t>
      </w:r>
    </w:p>
    <w:p>
      <w:pPr>
        <w:pStyle w:val="Heading2"/>
      </w:pPr>
      <w:r>
        <w:t>Étape 2 — Anonymisation</w:t>
      </w:r>
    </w:p>
    <w:p>
      <w:r>
        <w:t>Après validation par l'utilisateur, le module produit :</w:t>
      </w:r>
    </w:p>
    <w:p>
      <w:r>
        <w:rPr>
          <w:i/>
        </w:rPr>
        <w:t>« Peux-tu me dire quel est le salaire total de [NOM_1] né le [DATE_NAISS_1] sachant qu'il gagne 1000 + 200 ? »</w:t>
      </w:r>
    </w:p>
    <w:p>
      <w:pPr>
        <w:pStyle w:val="Heading2"/>
      </w:pPr>
      <w:r>
        <w:t>Étape 3 — Envoi au LLM externe</w:t>
      </w:r>
    </w:p>
    <w:p>
      <w:r>
        <w:t>Le contenu anonymisé est envoyé à Claude via /llm/send. Claude reçoit le message avec les placeholders et répond :</w:t>
      </w:r>
    </w:p>
    <w:p>
      <w:r>
        <w:rPr>
          <w:i/>
        </w:rPr>
        <w:t>« Le salaire total de [NOM_1] est de 1200 EUR (1000 + 200). »</w:t>
      </w:r>
    </w:p>
    <w:p>
      <w:pPr>
        <w:pStyle w:val="Heading2"/>
      </w:pPr>
      <w:r>
        <w:t>Étape 4 — Dé-anonymisation</w:t>
      </w:r>
    </w:p>
    <w:p>
      <w:r>
        <w:t>La réponse brute est envoyée à /anonymisation/deanonymize avec les mappings. Le module remplace les placeholders :</w:t>
      </w:r>
    </w:p>
    <w:p>
      <w:r>
        <w:rPr>
          <w:b/>
          <w:i/>
        </w:rPr>
        <w:t>« Le salaire total de Vincent Dupont est de 1200 EUR (1000 + 200). »</w:t>
      </w:r>
    </w:p>
    <w:p/>
    <w:p>
      <w:r>
        <w:t>L'utilisateur reçoit une réponse complète et lisible. Le LLM externe n'a jamais eu connaissance de l'identité de la personne.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