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4" w:lineRule="auto"/>
      </w:pPr>
      <w:r>
        <w:rPr>
          <w:rFonts w:ascii="Calibri" w:hAnsi="Calibri" w:eastAsia="Microsoft YaHei"/>
          <w:b/>
          <w:color w:val="203040"/>
          <w:sz w:val="48"/>
        </w:rPr>
        <w:t>Stage 3 混音消融实验</w:t>
      </w:r>
    </w:p>
    <w:p>
      <w:pPr>
        <w:spacing w:before="0" w:after="280" w:line="264" w:lineRule="auto"/>
      </w:pPr>
      <w:r>
        <w:rPr>
          <w:rFonts w:ascii="Calibri" w:hAnsi="Calibri" w:eastAsia="Microsoft YaHei"/>
          <w:color w:val="667085"/>
          <w:sz w:val="26"/>
        </w:rPr>
        <w:t>Experiments 章节组成部分 · 三案例、九组受控对照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F4D78"/>
          <w:sz w:val="21"/>
        </w:rPr>
        <w:t xml:space="preserve">范围: </w:t>
      </w:r>
      <w:r>
        <w:rPr>
          <w:rFonts w:ascii="Calibri" w:hAnsi="Calibri" w:eastAsia="Microsoft YaHei"/>
          <w:color w:val="203040"/>
          <w:sz w:val="21"/>
        </w:rPr>
        <w:t>Stage 3 直接混音、全局相对增强与逐事件感知混音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F4D78"/>
          <w:sz w:val="21"/>
        </w:rPr>
        <w:t xml:space="preserve">案例: </w:t>
      </w:r>
      <w:r>
        <w:rPr>
          <w:rFonts w:ascii="Calibri" w:hAnsi="Calibri" w:eastAsia="Microsoft YaHei"/>
          <w:color w:val="203040"/>
          <w:sz w:val="21"/>
        </w:rPr>
        <w:t>1 个固定测试案例 + 2 个故事驱动正式案例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F4D78"/>
          <w:sz w:val="21"/>
        </w:rPr>
        <w:t xml:space="preserve">状态: </w:t>
      </w:r>
      <w:r>
        <w:rPr>
          <w:rFonts w:ascii="Calibri" w:hAnsi="Calibri" w:eastAsia="Microsoft YaHei"/>
          <w:color w:val="203040"/>
          <w:sz w:val="21"/>
        </w:rPr>
        <w:t>全部 9 个混音输出已完成并记录清单与哈希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核心结果  </w:t>
            </w:r>
            <w:r>
              <w:rPr>
                <w:rFonts w:ascii="Calibri" w:hAnsi="Calibri" w:eastAsia="Microsoft YaHei"/>
                <w:color w:val="203040"/>
                <w:sz w:val="21"/>
              </w:rPr>
              <w:t>逐事件感知混音在三个案例中的平均心跳—音乐全曲 RMS 差值为 9.919 dB，较直接混音提高 7.382 dB；三个输出的估计真峰值均控制在 −1.000 dBTP。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t>1. 实验目的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本实验验证 Stage 3 的逐事件响度估计和局部音乐闪避能否在不改变 MIDI 时序、不时间拉伸或移调真实 S1/S2 样本的前提下，提高心跳相对于音乐的可辨识度，同时满足最终输出的峰值安全要求。该实验是完整 Experiments 章节的一部分，不包含尚未实施的主观听测。</w:t>
      </w:r>
    </w:p>
    <w:p>
      <w:pPr>
        <w:pStyle w:val="Heading1"/>
      </w:pPr>
      <w:r>
        <w:t>2. 实验设置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Story Planning Agent 通过 DeepSeek API 生成结构化音乐计划；MuseCoco 在 WSL Ubuntu 环境中生成八小节主题；MIDI-GPT yellow 模型在 Windows 原生 Python 环境中补全可编辑小节；Stage 3 使用 FluidSynth 2.5.6 和 GeneralUser GS SoundFont 渲染音乐，并以 48 kHz、双声道 WAV 输出。MIDI-GPT 随机种子固定为 42。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三个案例使用同一份原始心音录音。对同一案例进行混音消融时，完整 MIDI、心跳素材包、SoundFont、采样率和心跳事件时序均保持不变，仅替换混音策略。因此，同一案例三种输出之间的差异可归因于 Stage 3 混音与母带处理。</w:t>
      </w:r>
    </w:p>
    <w:p>
      <w:pPr>
        <w:pStyle w:val="Heading2"/>
      </w:pPr>
      <w:r>
        <w:t>2.1 端到端案例</w:t>
      </w:r>
    </w:p>
    <w:p>
      <w:pPr>
        <w:keepNext/>
        <w:spacing w:before="80" w:after="80" w:line="264" w:lineRule="auto"/>
      </w:pPr>
      <w:r>
        <w:rPr>
          <w:rFonts w:ascii="Calibri" w:hAnsi="Calibri" w:eastAsia="Microsoft YaHei"/>
          <w:b/>
          <w:color w:val="1F4D78"/>
          <w:sz w:val="19"/>
        </w:rPr>
        <w:t>表 1. 三个实验案例的结构与输出规模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550"/>
        <w:gridCol w:w="1500"/>
        <w:gridCol w:w="650"/>
        <w:gridCol w:w="2100"/>
        <w:gridCol w:w="1450"/>
        <w:gridCol w:w="1460"/>
      </w:tblGrid>
      <w:tr>
        <w:trPr>
          <w:tblHeader w:val="true"/>
        </w:trPr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案例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入口与模式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曲式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小节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分段 BPM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时长 (s)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心跳事件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纯后端固定测试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A–B–A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48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96 / 96 / 96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122.933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128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Showcase 成功重跑支线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A–B–A′–A″–C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80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80 / 100 / 90 / 80 / 96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219.328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192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Showcase 正式模式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A–B–A′–A″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64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88 / 108 / 84 / 88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171.509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192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color w:val="203040"/>
          <w:sz w:val="22"/>
        </w:rPr>
        <w:t>E1 用于验证早期三阶段接口。E2 与 E3 使用故事驱动的曲式规模决策：E2 根据五个叙事阶段生成五段结构并复用、发展主题 A；E3 根据四个叙事阶段生成四段结构，后两段均为主题 A 的变奏。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案例边界  </w:t>
            </w:r>
            <w:r>
              <w:rPr>
                <w:rFonts w:ascii="Calibri" w:hAnsi="Calibri" w:eastAsia="Microsoft YaHei"/>
                <w:color w:val="203040"/>
                <w:sz w:val="21"/>
              </w:rPr>
              <w:t>E2 的根 job.json 保留首次 Stage 2 严格检查失败记录；本实验只使用同一任务目录内随后完成的 Stage 2 与 Stage 3 成功重跑支线。E1 与 E3 的主控任务状态均为 COMPLETED。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t>3. Stage 3 混音消融</w:t>
      </w:r>
    </w:p>
    <w:p>
      <w:pPr>
        <w:pStyle w:val="Heading2"/>
      </w:pPr>
      <w:r>
        <w:t>3.1 对比配置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3040"/>
          <w:sz w:val="22"/>
        </w:rPr>
        <w:t>Direct：音乐和心跳均为 0 dB 预设增益；仅在必要时对总混音执行统一真峰值保护。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3040"/>
          <w:sz w:val="22"/>
        </w:rPr>
        <w:t>Global：根据全部 250 ms 心跳事件窗口估计一个全曲固定增益；目标相对电平为 +7 dB，最大允许提升 18 dB，音乐预衰减 4 dB。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3040"/>
          <w:sz w:val="22"/>
        </w:rPr>
        <w:t>Adaptive：使用 K-weighting 逐事件测量；目标相对电平 +7 dB，事件增益范围 0–18 dB，相邻事件最大增益变化 2 dB，局部音乐闪避上限 4 dB；母带目标 −16 LUFS，估计真峰值上限 −1 dBTP。</w:t>
      </w:r>
    </w:p>
    <w:p>
      <w:pPr>
        <w:pStyle w:val="Heading2"/>
      </w:pPr>
      <w:r>
        <w:t>3.2 指标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整曲积分响度用于描述最终输出的总体播放响度；估计真峰值用于检查峰值安全；心跳—音乐全曲 RMS 差值定义为 C_RMS = L_heartbeat,RMS − L_music,RMS。正值表示心跳分轨的全曲 RMS 高于音乐分轨。C_RMS 可用于统一、可复算的算法对照，但不能替代逐事件听觉显著性或主观听测。</w:t>
      </w:r>
    </w:p>
    <w:p>
      <w:pPr>
        <w:pStyle w:val="Heading2"/>
      </w:pPr>
      <w:r>
        <w:t>3.3 客观结果</w:t>
      </w:r>
    </w:p>
    <w:p>
      <w:pPr>
        <w:keepNext/>
        <w:spacing w:before="80" w:after="80" w:line="264" w:lineRule="auto"/>
      </w:pPr>
      <w:r>
        <w:rPr>
          <w:rFonts w:ascii="Calibri" w:hAnsi="Calibri" w:eastAsia="Microsoft YaHei"/>
          <w:b/>
          <w:color w:val="1F4D78"/>
          <w:sz w:val="19"/>
        </w:rPr>
        <w:t>表 2. 三案例 × 三种混音策略的客观结果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300"/>
        <w:gridCol w:w="1300"/>
        <w:gridCol w:w="1400"/>
        <w:gridCol w:w="1500"/>
        <w:gridCol w:w="1500"/>
        <w:gridCol w:w="1760"/>
      </w:tblGrid>
      <w:tr>
        <w:trPr>
          <w:tblHeader w:val="true"/>
        </w:trP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案例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最终 LUFS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真峰值 dBTP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心跳 RMS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音乐 RMS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C_RMS (dB)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Direct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−21.268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−3.407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−23.859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−29.623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5.764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Global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−27.219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−9.755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−31.747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−33.623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1.876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Adaptive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−17.386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−1.000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−19.449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−32.292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12.843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Direct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−21.764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−4.050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−26.843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−28.719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1.876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Global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−26.969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−10.806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−34.804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−32.719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−2.084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Adaptive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−20.955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−1.000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−23.397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−32.728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9.331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Direct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−18.367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−1.000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−23.779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−23.749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−0.030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Global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−19.915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−2.057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−23.134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−27.079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3.945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E3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Adaptive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−19.155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−1.000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−21.180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−28.764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7.583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均值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Direct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−20.466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−2.819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—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2.537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均值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Global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−24.701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−7.539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—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1.246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均值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6"/>
              </w:rPr>
              <w:t>Adaptive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−19.165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−1.000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—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—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6"/>
              </w:rPr>
              <w:t>9.919</w:t>
            </w:r>
          </w:p>
        </w:tc>
      </w:tr>
    </w:tbl>
    <w:p>
      <w:pPr>
        <w:pStyle w:val="Heading1"/>
      </w:pPr>
      <w:r>
        <w:t>4. 结果分析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逐事件感知混音在三个案例中的 C_RMS 均为正值，范围为 7.583–12.843 dB，三案例均值为 9.919 dB。直接混音均值为 2.537 dB，全局相对增强均值为 1.246 dB。因此，相对于直接混音，逐事件方案的平均心跳—音乐 RMS 差值提高了 7.382 dB。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逐事件方案在三个案例中均将最终估计真峰值控制在 −1.000 dBTP。最终积分响度为 −17.386 至 −20.955 LUFS，未被强制提升至 −16 LUFS。这是因为母带阶段优先满足真峰值上限，避免为追求目标响度而产生削波风险。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全局相对增强没有在所有案例中产生预期的心跳提升。E1 与 E2 的固定心跳增益分别为 −7.888 dB 和 −7.960 dB，E3 为 −0.025 dB。该基线只限制最大提升量，没有设置最小增益下限；当代表性心跳窗口已高于音乐窗口时，算法会衰减整条心跳轨。该结果表明，单一全局增益难以适应随时间变化的音乐密度。</w:t>
      </w:r>
    </w:p>
    <w:p>
      <w:pPr>
        <w:keepNext/>
        <w:spacing w:before="80" w:after="80" w:line="264" w:lineRule="auto"/>
      </w:pPr>
      <w:r>
        <w:rPr>
          <w:rFonts w:ascii="Calibri" w:hAnsi="Calibri" w:eastAsia="Microsoft YaHei"/>
          <w:b/>
          <w:color w:val="1F4D78"/>
          <w:sz w:val="19"/>
        </w:rPr>
        <w:t>表 3. 当前逐事件混音的局部干预量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2300"/>
        <w:gridCol w:w="38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案例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最大事件增益 (dB)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最大音乐闪避 (dB)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中位事件增益 / 闪避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E1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8"/>
              </w:rPr>
              <w:t>0.656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0.000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0 / 0 dB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E2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8"/>
              </w:rPr>
              <w:t>2.376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0.729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0 / 0 dB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E3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203040"/>
                <w:sz w:val="18"/>
              </w:rPr>
              <w:t>3.384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4.000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203040"/>
                <w:sz w:val="18"/>
              </w:rPr>
              <w:t>0 / 0 dB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三个案例的中位事件增益和中位音乐闪避均为 0 dB，说明当前方法并非持续压低音乐或整体放大心跳，而是主要在局部遮蔽较强的位置介入。</w:t>
      </w:r>
    </w:p>
    <w:p>
      <w:pPr>
        <w:pStyle w:val="Heading1"/>
      </w:pPr>
      <w:r>
        <w:t>5. 实验范围与后续评价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本部分基于三个完整案例，足以验证业务流程、接口一致性和混音算法行为，但不足以支持统计显著性结论。全曲 RMS 差值也不能完全表示短时心跳的听觉显著性。完整 Evaluation 应进一步加入随机化顺序的配对盲听，分别评价心跳清晰度、心跳自然度、音乐完整性和整体偏好，并记录不同浏览器、播放器、扬声器和耳机条件。</w:t>
      </w:r>
    </w:p>
    <w:p>
      <w:pPr>
        <w:pStyle w:val="Heading1"/>
      </w:pPr>
      <w:r>
        <w:t>6. 可追溯产物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3040"/>
          <w:sz w:val="22"/>
        </w:rPr>
        <w:t>E1：20260722-112123-3cf97acf。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3040"/>
          <w:sz w:val="22"/>
        </w:rPr>
        <w:t>E2：20260725-210857-08f0a18c；采用该目录内成功的 Stage 2/3 重跑支线。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3040"/>
          <w:sz w:val="22"/>
        </w:rPr>
        <w:t>E3：20260726-203522-5e947659。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3040"/>
          <w:sz w:val="22"/>
        </w:rPr>
        <w:t>Stage 3 消融输出：stage3_midi_renderer/experiments/case01_mix_comparison/outputs/。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3040"/>
          <w:sz w:val="22"/>
        </w:rPr>
        <w:t>消融运行状态：stage3_midi_renderer/experiments/case01_mix_comparison/ablation_progress.json。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3040"/>
          <w:sz w:val="22"/>
        </w:rPr>
        <w:t>Stage 2 与 Stage 3 清单记录了输入哈希、模型名称、随机种子、MIDI 统计、渲染配置和输出音频哈希。这些记录支持结果追溯和部分复现，但外部托管语言模型的完全一致重生成不作保证。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Microsoft YaHei"/>
        <w:b/>
        <w:color w:val="667085"/>
        <w:sz w:val="18"/>
      </w:rPr>
      <w:t>STAYIN' ALIVE  |  EXPERIMENTS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3 混音消融实验</dc:title>
  <dc:subject>Stayin' Alive 项目 Experiments 章节组成部分</dc:subject>
  <dc:creator>Stayin' Alive Project Team</dc:creator>
  <cp:keywords>LegaSynth, Stage 3, heartbeat mixing, ablation</cp:keywords>
  <dc:description>Generated from verified Stage 2/3 manifests.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