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FF8B"/>
          <w:sz w:val="60"/>
        </w:rPr>
        <w:t>SHELFCAT</w:t>
      </w:r>
      <w:r>
        <w:rPr>
          <w:b/>
          <w:color w:val="123B5A"/>
          <w:sz w:val="60"/>
        </w:rPr>
        <w:t xml:space="preserve"> ENTERPRISE</w:t>
      </w:r>
    </w:p>
    <w:p>
      <w:pPr>
        <w:jc w:val="center"/>
      </w:pPr>
      <w:r>
        <w:rPr>
          <w:b/>
          <w:color w:val="12202B"/>
          <w:sz w:val="36"/>
        </w:rPr>
        <w:t>Authoritative Architecture &amp; Technical Specification</w:t>
      </w:r>
    </w:p>
    <w:p>
      <w:pPr>
        <w:jc w:val="center"/>
      </w:pPr>
      <w:r>
        <w:rPr>
          <w:color w:val="52606D"/>
          <w:sz w:val="21"/>
        </w:rPr>
        <w:t>Deterministic Edge Intelligence • Policy Authority • Cryptographic Evidence • Multi-Vertical Deployment</w:t>
      </w:r>
    </w:p>
    <w:p>
      <w:pPr>
        <w:jc w:val="center"/>
      </w:pPr>
      <w:r>
        <w:drawing>
          <wp:inline xmlns:a="http://schemas.openxmlformats.org/drawingml/2006/main" xmlns:pic="http://schemas.openxmlformats.org/drawingml/2006/picture">
            <wp:extent cx="5852160" cy="5970111"/>
            <wp:docPr id="1" name="Picture 1"/>
            <wp:cNvGraphicFramePr>
              <a:graphicFrameLocks noChangeAspect="1"/>
            </wp:cNvGraphicFramePr>
            <a:graphic>
              <a:graphicData uri="http://schemas.openxmlformats.org/drawingml/2006/picture">
                <pic:pic>
                  <pic:nvPicPr>
                    <pic:cNvPr id="0" name="IMG_0954.jpeg"/>
                    <pic:cNvPicPr/>
                  </pic:nvPicPr>
                  <pic:blipFill>
                    <a:blip r:embed="rId11"/>
                    <a:stretch>
                      <a:fillRect/>
                    </a:stretch>
                  </pic:blipFill>
                  <pic:spPr>
                    <a:xfrm>
                      <a:off x="0" y="0"/>
                      <a:ext cx="5852160" cy="5970111"/>
                    </a:xfrm>
                    <a:prstGeom prst="rect"/>
                  </pic:spPr>
                </pic:pic>
              </a:graphicData>
            </a:graphic>
          </wp:inline>
        </w:drawing>
      </w:r>
    </w:p>
    <w:p>
      <w:pPr>
        <w:jc w:val="center"/>
      </w:pPr>
      <w:r>
        <w:rPr>
          <w:b/>
        </w:rPr>
        <w:t>Prepared for ShelfCat Solutions LLC</w:t>
        <w:br/>
      </w:r>
      <w:r>
        <w:t>Alan Lee Vines, Founder &amp; Chief Architect</w:t>
        <w:br/>
        <w:t>Birmingham, Alabama</w:t>
        <w:br/>
        <w:t>22 September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23B5A"/>
            <w:vAlign w:val="center"/>
            <w:tcMar>
              <w:top w:w="70" w:type="dxa"/>
              <w:start w:w="80" w:type="dxa"/>
              <w:bottom w:w="70" w:type="dxa"/>
              <w:end w:w="80" w:type="dxa"/>
            </w:tcMar>
          </w:tcPr>
          <w:p>
            <w:r>
              <w:rPr>
                <w:b/>
                <w:color w:val="FFFFFF"/>
                <w:sz w:val="18"/>
              </w:rPr>
              <w:t>Field</w:t>
            </w:r>
          </w:p>
        </w:tc>
        <w:tc>
          <w:tcPr>
            <w:tcW w:type="dxa" w:w="7776"/>
            <w:shd w:fill="123B5A"/>
            <w:vAlign w:val="center"/>
            <w:tcMar>
              <w:top w:w="70" w:type="dxa"/>
              <w:start w:w="80" w:type="dxa"/>
              <w:bottom w:w="70" w:type="dxa"/>
              <w:end w:w="80" w:type="dxa"/>
            </w:tcMar>
          </w:tcPr>
          <w:p>
            <w:r>
              <w:rPr>
                <w:b/>
                <w:color w:val="FFFFFF"/>
                <w:sz w:val="18"/>
              </w:rPr>
              <w:t>Authoritative Value</w:t>
            </w:r>
          </w:p>
        </w:tc>
      </w:tr>
      <w:tr>
        <w:tc>
          <w:tcPr>
            <w:tcW w:type="dxa" w:w="5184"/>
            <w:tcMar>
              <w:top w:w="70" w:type="dxa"/>
              <w:start w:w="80" w:type="dxa"/>
              <w:bottom w:w="70" w:type="dxa"/>
              <w:end w:w="80" w:type="dxa"/>
            </w:tcMar>
            <w:vAlign w:val="top"/>
          </w:tcPr>
          <w:p>
            <w:pPr>
              <w:spacing w:after="0"/>
            </w:pPr>
            <w:r>
              <w:rPr>
                <w:color w:val="12202B"/>
                <w:sz w:val="18"/>
              </w:rPr>
              <w:t>Document</w:t>
            </w:r>
          </w:p>
        </w:tc>
        <w:tc>
          <w:tcPr>
            <w:tcW w:type="dxa" w:w="5184"/>
            <w:tcMar>
              <w:top w:w="70" w:type="dxa"/>
              <w:start w:w="80" w:type="dxa"/>
              <w:bottom w:w="70" w:type="dxa"/>
              <w:end w:w="80" w:type="dxa"/>
            </w:tcMar>
            <w:vAlign w:val="top"/>
          </w:tcPr>
          <w:p>
            <w:pPr>
              <w:spacing w:after="0"/>
            </w:pPr>
            <w:r>
              <w:rPr>
                <w:color w:val="12202B"/>
                <w:sz w:val="18"/>
              </w:rPr>
              <w:t>ShelfCat Enterprise Architecture &amp; Technical Specification</w:t>
            </w:r>
          </w:p>
        </w:tc>
      </w:tr>
      <w:tr>
        <w:tc>
          <w:tcPr>
            <w:tcW w:type="dxa" w:w="5184"/>
            <w:tcMar>
              <w:top w:w="70" w:type="dxa"/>
              <w:start w:w="80" w:type="dxa"/>
              <w:bottom w:w="70" w:type="dxa"/>
              <w:end w:w="80" w:type="dxa"/>
            </w:tcMar>
            <w:vAlign w:val="top"/>
          </w:tcPr>
          <w:p>
            <w:pPr>
              <w:spacing w:after="0"/>
            </w:pPr>
            <w:r>
              <w:rPr>
                <w:color w:val="12202B"/>
                <w:sz w:val="18"/>
              </w:rPr>
              <w:t>Version</w:t>
            </w:r>
          </w:p>
        </w:tc>
        <w:tc>
          <w:tcPr>
            <w:tcW w:type="dxa" w:w="5184"/>
            <w:tcMar>
              <w:top w:w="70" w:type="dxa"/>
              <w:start w:w="80" w:type="dxa"/>
              <w:bottom w:w="70" w:type="dxa"/>
              <w:end w:w="80" w:type="dxa"/>
            </w:tcMar>
            <w:vAlign w:val="top"/>
          </w:tcPr>
          <w:p>
            <w:pPr>
              <w:spacing w:after="0"/>
            </w:pPr>
            <w:r>
              <w:rPr>
                <w:color w:val="12202B"/>
                <w:sz w:val="18"/>
              </w:rPr>
              <w:t>1.0</w:t>
            </w:r>
          </w:p>
        </w:tc>
      </w:tr>
      <w:tr>
        <w:tc>
          <w:tcPr>
            <w:tcW w:type="dxa" w:w="5184"/>
            <w:tcMar>
              <w:top w:w="70" w:type="dxa"/>
              <w:start w:w="80" w:type="dxa"/>
              <w:bottom w:w="70" w:type="dxa"/>
              <w:end w:w="80" w:type="dxa"/>
            </w:tcMar>
            <w:vAlign w:val="top"/>
          </w:tcPr>
          <w:p>
            <w:pPr>
              <w:spacing w:after="0"/>
            </w:pPr>
            <w:r>
              <w:rPr>
                <w:color w:val="12202B"/>
                <w:sz w:val="18"/>
              </w:rPr>
              <w:t>Status</w:t>
            </w:r>
          </w:p>
        </w:tc>
        <w:tc>
          <w:tcPr>
            <w:tcW w:type="dxa" w:w="5184"/>
            <w:tcMar>
              <w:top w:w="70" w:type="dxa"/>
              <w:start w:w="80" w:type="dxa"/>
              <w:bottom w:w="70" w:type="dxa"/>
              <w:end w:w="80" w:type="dxa"/>
            </w:tcMar>
            <w:vAlign w:val="top"/>
          </w:tcPr>
          <w:p>
            <w:pPr>
              <w:spacing w:after="0"/>
            </w:pPr>
            <w:r>
              <w:rPr>
                <w:color w:val="12202B"/>
                <w:sz w:val="18"/>
              </w:rPr>
              <w:t>Authoritative architecture baseline</w:t>
            </w:r>
          </w:p>
        </w:tc>
      </w:tr>
      <w:tr>
        <w:tc>
          <w:tcPr>
            <w:tcW w:type="dxa" w:w="5184"/>
            <w:tcMar>
              <w:top w:w="70" w:type="dxa"/>
              <w:start w:w="80" w:type="dxa"/>
              <w:bottom w:w="70" w:type="dxa"/>
              <w:end w:w="80" w:type="dxa"/>
            </w:tcMar>
            <w:vAlign w:val="top"/>
          </w:tcPr>
          <w:p>
            <w:pPr>
              <w:spacing w:after="0"/>
            </w:pPr>
            <w:r>
              <w:rPr>
                <w:color w:val="12202B"/>
                <w:sz w:val="18"/>
              </w:rPr>
              <w:t>Effective date</w:t>
            </w:r>
          </w:p>
        </w:tc>
        <w:tc>
          <w:tcPr>
            <w:tcW w:type="dxa" w:w="5184"/>
            <w:tcMar>
              <w:top w:w="70" w:type="dxa"/>
              <w:start w:w="80" w:type="dxa"/>
              <w:bottom w:w="70" w:type="dxa"/>
              <w:end w:w="80" w:type="dxa"/>
            </w:tcMar>
            <w:vAlign w:val="top"/>
          </w:tcPr>
          <w:p>
            <w:pPr>
              <w:spacing w:after="0"/>
            </w:pPr>
            <w:r>
              <w:rPr>
                <w:color w:val="12202B"/>
                <w:sz w:val="18"/>
              </w:rPr>
              <w:t>2026-09-22</w:t>
            </w:r>
          </w:p>
        </w:tc>
      </w:tr>
      <w:tr>
        <w:tc>
          <w:tcPr>
            <w:tcW w:type="dxa" w:w="5184"/>
            <w:tcMar>
              <w:top w:w="70" w:type="dxa"/>
              <w:start w:w="80" w:type="dxa"/>
              <w:bottom w:w="70" w:type="dxa"/>
              <w:end w:w="80" w:type="dxa"/>
            </w:tcMar>
            <w:vAlign w:val="top"/>
          </w:tcPr>
          <w:p>
            <w:pPr>
              <w:spacing w:after="0"/>
            </w:pPr>
            <w:r>
              <w:rPr>
                <w:color w:val="12202B"/>
                <w:sz w:val="18"/>
              </w:rPr>
              <w:t>Owner</w:t>
            </w:r>
          </w:p>
        </w:tc>
        <w:tc>
          <w:tcPr>
            <w:tcW w:type="dxa" w:w="5184"/>
            <w:tcMar>
              <w:top w:w="70" w:type="dxa"/>
              <w:start w:w="80" w:type="dxa"/>
              <w:bottom w:w="70" w:type="dxa"/>
              <w:end w:w="80" w:type="dxa"/>
            </w:tcMar>
            <w:vAlign w:val="top"/>
          </w:tcPr>
          <w:p>
            <w:pPr>
              <w:spacing w:after="0"/>
            </w:pPr>
            <w:r>
              <w:rPr>
                <w:color w:val="12202B"/>
                <w:sz w:val="18"/>
              </w:rPr>
              <w:t>ShelfCat Solutions LLC</w:t>
            </w:r>
          </w:p>
        </w:tc>
      </w:tr>
      <w:tr>
        <w:tc>
          <w:tcPr>
            <w:tcW w:type="dxa" w:w="5184"/>
            <w:tcMar>
              <w:top w:w="70" w:type="dxa"/>
              <w:start w:w="80" w:type="dxa"/>
              <w:bottom w:w="70" w:type="dxa"/>
              <w:end w:w="80" w:type="dxa"/>
            </w:tcMar>
            <w:vAlign w:val="top"/>
          </w:tcPr>
          <w:p>
            <w:pPr>
              <w:spacing w:after="0"/>
            </w:pPr>
            <w:r>
              <w:rPr>
                <w:color w:val="12202B"/>
                <w:sz w:val="18"/>
              </w:rPr>
              <w:t>Architecture authority</w:t>
            </w:r>
          </w:p>
        </w:tc>
        <w:tc>
          <w:tcPr>
            <w:tcW w:type="dxa" w:w="5184"/>
            <w:tcMar>
              <w:top w:w="70" w:type="dxa"/>
              <w:start w:w="80" w:type="dxa"/>
              <w:bottom w:w="70" w:type="dxa"/>
              <w:end w:w="80" w:type="dxa"/>
            </w:tcMar>
            <w:vAlign w:val="top"/>
          </w:tcPr>
          <w:p>
            <w:pPr>
              <w:spacing w:after="0"/>
            </w:pPr>
            <w:r>
              <w:rPr>
                <w:color w:val="12202B"/>
                <w:sz w:val="18"/>
              </w:rPr>
              <w:t>ShelfCat Solutions LLC / designated technical authority</w:t>
            </w:r>
          </w:p>
        </w:tc>
      </w:tr>
      <w:tr>
        <w:tc>
          <w:tcPr>
            <w:tcW w:type="dxa" w:w="5184"/>
            <w:tcMar>
              <w:top w:w="70" w:type="dxa"/>
              <w:start w:w="80" w:type="dxa"/>
              <w:bottom w:w="70" w:type="dxa"/>
              <w:end w:w="80" w:type="dxa"/>
            </w:tcMar>
            <w:vAlign w:val="top"/>
          </w:tcPr>
          <w:p>
            <w:pPr>
              <w:spacing w:after="0"/>
            </w:pPr>
            <w:r>
              <w:rPr>
                <w:color w:val="12202B"/>
                <w:sz w:val="18"/>
              </w:rPr>
              <w:t>Source corpus</w:t>
            </w:r>
          </w:p>
        </w:tc>
        <w:tc>
          <w:tcPr>
            <w:tcW w:type="dxa" w:w="5184"/>
            <w:tcMar>
              <w:top w:w="70" w:type="dxa"/>
              <w:start w:w="80" w:type="dxa"/>
              <w:bottom w:w="70" w:type="dxa"/>
              <w:end w:w="80" w:type="dxa"/>
            </w:tcMar>
            <w:vAlign w:val="top"/>
          </w:tcPr>
          <w:p>
            <w:pPr>
              <w:spacing w:after="0"/>
            </w:pPr>
            <w:r>
              <w:rPr>
                <w:color w:val="12202B"/>
                <w:sz w:val="18"/>
              </w:rPr>
              <w:t>ShelfCat_Full_Platform_Workbook.xlsx; three uploaded ShelfCat architecture diagrams</w:t>
            </w:r>
          </w:p>
        </w:tc>
      </w:tr>
      <w:tr>
        <w:tc>
          <w:tcPr>
            <w:tcW w:type="dxa" w:w="5184"/>
            <w:tcMar>
              <w:top w:w="70" w:type="dxa"/>
              <w:start w:w="80" w:type="dxa"/>
              <w:bottom w:w="70" w:type="dxa"/>
              <w:end w:w="80" w:type="dxa"/>
            </w:tcMar>
            <w:vAlign w:val="top"/>
          </w:tcPr>
          <w:p>
            <w:pPr>
              <w:spacing w:after="0"/>
            </w:pPr>
            <w:r>
              <w:rPr>
                <w:color w:val="12202B"/>
                <w:sz w:val="18"/>
              </w:rPr>
              <w:t>Precedence</w:t>
            </w:r>
          </w:p>
        </w:tc>
        <w:tc>
          <w:tcPr>
            <w:tcW w:type="dxa" w:w="5184"/>
            <w:tcMar>
              <w:top w:w="70" w:type="dxa"/>
              <w:start w:w="80" w:type="dxa"/>
              <w:bottom w:w="70" w:type="dxa"/>
              <w:end w:w="80" w:type="dxa"/>
            </w:tcMar>
            <w:vAlign w:val="top"/>
          </w:tcPr>
          <w:p>
            <w:pPr>
              <w:spacing w:after="0"/>
            </w:pPr>
            <w:r>
              <w:rPr>
                <w:color w:val="12202B"/>
                <w:sz w:val="18"/>
              </w:rPr>
              <w:t>This specification and the accompanying authoritative workbook supersede conflicting wording in the source diagrams.</w:t>
            </w:r>
          </w:p>
        </w:tc>
      </w:tr>
      <w:tr>
        <w:tc>
          <w:tcPr>
            <w:tcW w:type="dxa" w:w="5184"/>
            <w:tcMar>
              <w:top w:w="70" w:type="dxa"/>
              <w:start w:w="80" w:type="dxa"/>
              <w:bottom w:w="70" w:type="dxa"/>
              <w:end w:w="80" w:type="dxa"/>
            </w:tcMar>
            <w:vAlign w:val="top"/>
          </w:tcPr>
          <w:p>
            <w:pPr>
              <w:spacing w:after="0"/>
            </w:pPr>
            <w:r>
              <w:rPr>
                <w:color w:val="12202B"/>
                <w:sz w:val="18"/>
              </w:rPr>
              <w:t>Change control</w:t>
            </w:r>
          </w:p>
        </w:tc>
        <w:tc>
          <w:tcPr>
            <w:tcW w:type="dxa" w:w="5184"/>
            <w:tcMar>
              <w:top w:w="70" w:type="dxa"/>
              <w:start w:w="80" w:type="dxa"/>
              <w:bottom w:w="70" w:type="dxa"/>
              <w:end w:w="80" w:type="dxa"/>
            </w:tcMar>
            <w:vAlign w:val="top"/>
          </w:tcPr>
          <w:p>
            <w:pPr>
              <w:spacing w:after="0"/>
            </w:pPr>
            <w:r>
              <w:rPr>
                <w:color w:val="12202B"/>
                <w:sz w:val="18"/>
              </w:rPr>
              <w:t>Material architecture, policy-authority, cryptographic, tenancy, or claims changes require versioned review and an entry in the reconciliation log.</w:t>
            </w:r>
          </w:p>
        </w:tc>
      </w:tr>
    </w:tbl>
    <w:tbl>
      <w:tblPr>
        <w:tblW w:type="auto" w:w="0"/>
        <w:jc w:val="center"/>
        <w:tblLook w:firstColumn="1" w:firstRow="1" w:lastColumn="0" w:lastRow="0" w:noHBand="0" w:noVBand="1" w:val="04A0"/>
      </w:tblPr>
      <w:tblGrid>
        <w:gridCol w:w="10368"/>
      </w:tblGrid>
      <w:tr>
        <w:tc>
          <w:tcPr>
            <w:tcW w:type="dxa" w:w="10368"/>
            <w:shd w:fill="F4F8FB"/>
            <w:tcMar>
              <w:top w:w="120" w:type="dxa"/>
              <w:start w:w="140" w:type="dxa"/>
              <w:bottom w:w="120" w:type="dxa"/>
              <w:end w:w="140" w:type="dxa"/>
            </w:tcMar>
          </w:tcPr>
          <w:p>
            <w:r>
              <w:rPr>
                <w:b/>
                <w:color w:val="123B5A"/>
              </w:rPr>
              <w:t xml:space="preserve">Architecture thesis — </w:t>
            </w:r>
            <w:r>
              <w:rPr>
                <w:color w:val="12202B"/>
              </w:rPr>
              <w:t>AI may propose what it observes; it does not become the authority that decides whether the observation satisfies policy. RustGate is the deterministic policy authority. The Evidence layer commits provenance, signatures, hashes, and replay metadata after the decision.</w:t>
            </w:r>
          </w:p>
        </w:tc>
      </w:tr>
    </w:tbl>
    <w:p>
      <w:pPr>
        <w:pStyle w:val="Heading1"/>
      </w:pPr>
      <w:r>
        <w:t>1. Scope, Intent &amp; Source Precedence</w:t>
      </w:r>
    </w:p>
    <w:p>
      <w:r>
        <w:t>This document converts the uploaded workbook and architecture diagrams into one internally consistent enterprise architecture. It separates production requirements from illustrative concepts and separates measured evidence from targets or unvalidated claims.</w:t>
      </w:r>
    </w:p>
    <w:p>
      <w:pPr>
        <w:pStyle w:val="ListBullet"/>
        <w:spacing w:after="60"/>
      </w:pPr>
      <w:r>
        <w:t>The workbook is the structured source for component, policy-pack, vertical, integration, evidence, and commercial-model definitions.</w:t>
      </w:r>
    </w:p>
    <w:p>
      <w:pPr>
        <w:pStyle w:val="ListBullet"/>
        <w:spacing w:after="60"/>
      </w:pPr>
      <w:r>
        <w:t>The diagrams are source concepts for workflow, gating, operational layers, and sector positioning. Where diagram text conflicts with deterministic-systems, security, data-governance, or validation principles, this specification records the correction.</w:t>
      </w:r>
    </w:p>
    <w:p>
      <w:pPr>
        <w:pStyle w:val="ListBullet"/>
        <w:spacing w:after="60"/>
      </w:pPr>
      <w:r>
        <w:t>Normative language uses MUST, SHOULD, and MAY in the conventional engineering sense: mandatory, recommended, and optional respectively.</w:t>
      </w:r>
    </w:p>
    <w:p>
      <w:pPr>
        <w:pStyle w:val="ListBullet"/>
        <w:spacing w:after="60"/>
      </w:pPr>
      <w:r>
        <w:t>Externally published claims MUST be traceable to a test profile, model, or source record.</w:t>
      </w:r>
    </w:p>
    <w:p>
      <w:pPr>
        <w:pStyle w:val="Heading1"/>
      </w:pPr>
      <w:r>
        <w:t>2. Architecture Invariants</w:t>
      </w:r>
    </w:p>
    <w:p>
      <w:pPr>
        <w:pStyle w:val="ListBullet"/>
        <w:spacing w:after="60"/>
      </w:pPr>
      <w:r>
        <w:rPr>
          <w:b/>
        </w:rPr>
        <w:t>Perception is probabilistic.</w:t>
      </w:r>
      <w:r>
        <w:t xml:space="preserve"> Vision, OCR, embeddings, speech, sensor fusion, and other model outputs are candidate observations with uncertainty.</w:t>
      </w:r>
    </w:p>
    <w:p>
      <w:pPr>
        <w:pStyle w:val="ListBullet"/>
        <w:spacing w:after="60"/>
      </w:pPr>
      <w:r>
        <w:rPr>
          <w:b/>
        </w:rPr>
        <w:t>Policy is deterministic.</w:t>
      </w:r>
      <w:r>
        <w:t xml:space="preserve"> RustGate evaluates a normalized observation against a pinned policy/version and returns an explicit outcome.</w:t>
      </w:r>
    </w:p>
    <w:p>
      <w:pPr>
        <w:pStyle w:val="ListBullet"/>
        <w:spacing w:after="60"/>
      </w:pPr>
      <w:r>
        <w:rPr>
          <w:b/>
        </w:rPr>
        <w:t>Consequential actions are gated.</w:t>
      </w:r>
      <w:r>
        <w:t xml:space="preserve"> A model output alone cannot authorize actuation, compliance status, access, safety interlock, or other governed outcome.</w:t>
      </w:r>
    </w:p>
    <w:p>
      <w:pPr>
        <w:pStyle w:val="ListBullet"/>
        <w:spacing w:after="60"/>
      </w:pPr>
      <w:r>
        <w:rPr>
          <w:b/>
        </w:rPr>
        <w:t>Evidence is cryptographically bound.</w:t>
      </w:r>
      <w:r>
        <w:t xml:space="preserve"> Authoritative records carry hashes, signatures, provenance, policy identity, engine identity, timestamps, and chain references as required by profile.</w:t>
      </w:r>
    </w:p>
    <w:p>
      <w:pPr>
        <w:pStyle w:val="ListBullet"/>
        <w:spacing w:after="60"/>
      </w:pPr>
      <w:r>
        <w:rPr>
          <w:b/>
        </w:rPr>
        <w:t>Failure is not silent.</w:t>
      </w:r>
      <w:r>
        <w:t xml:space="preserve"> A rejected payload may be discarded or quarantined, but minimum rejection/decision metadata remains auditable.</w:t>
      </w:r>
    </w:p>
    <w:p>
      <w:pPr>
        <w:pStyle w:val="ListBullet"/>
        <w:spacing w:after="60"/>
      </w:pPr>
      <w:r>
        <w:rPr>
          <w:b/>
        </w:rPr>
        <w:t>Verticals extend; they do not fork the core.</w:t>
      </w:r>
      <w:r>
        <w:t xml:space="preserve"> Domain classes, registries, thresholds, integrations, and actions vary; the Observation Envelope, RustGate mechanics, provenance, evidence, and quality-gate framework stay shared.</w:t>
      </w:r>
    </w:p>
    <w:p>
      <w:pPr>
        <w:pStyle w:val="ListBullet"/>
        <w:spacing w:after="60"/>
      </w:pPr>
      <w:r>
        <w:rPr>
          <w:b/>
        </w:rPr>
        <w:t>Determinism is not model accuracy.</w:t>
      </w:r>
      <w:r>
        <w:t xml:space="preserve"> Replay reproducibility and predictive accuracy are measured separately.</w:t>
      </w:r>
    </w:p>
    <w:p>
      <w:pPr>
        <w:pStyle w:val="Heading1"/>
      </w:pPr>
      <w:r>
        <w:t>3. Logical Architecture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656"/>
            <w:shd w:fill="123B5A"/>
            <w:vAlign w:val="center"/>
            <w:tcMar>
              <w:top w:w="70" w:type="dxa"/>
              <w:start w:w="80" w:type="dxa"/>
              <w:bottom w:w="70" w:type="dxa"/>
              <w:end w:w="80" w:type="dxa"/>
            </w:tcMar>
          </w:tcPr>
          <w:p>
            <w:r>
              <w:rPr>
                <w:b/>
                <w:color w:val="FFFFFF"/>
                <w:sz w:val="16"/>
              </w:rPr>
              <w:t>Layer</w:t>
            </w:r>
          </w:p>
        </w:tc>
        <w:tc>
          <w:tcPr>
            <w:tcW w:type="dxa" w:w="4104"/>
            <w:shd w:fill="123B5A"/>
            <w:vAlign w:val="center"/>
            <w:tcMar>
              <w:top w:w="70" w:type="dxa"/>
              <w:start w:w="80" w:type="dxa"/>
              <w:bottom w:w="70" w:type="dxa"/>
              <w:end w:w="80" w:type="dxa"/>
            </w:tcMar>
          </w:tcPr>
          <w:p>
            <w:r>
              <w:rPr>
                <w:b/>
                <w:color w:val="FFFFFF"/>
                <w:sz w:val="16"/>
              </w:rPr>
              <w:t>Responsibility</w:t>
            </w:r>
          </w:p>
        </w:tc>
        <w:tc>
          <w:tcPr>
            <w:tcW w:type="dxa" w:w="3096"/>
            <w:shd w:fill="123B5A"/>
            <w:vAlign w:val="center"/>
            <w:tcMar>
              <w:top w:w="70" w:type="dxa"/>
              <w:start w:w="80" w:type="dxa"/>
              <w:bottom w:w="70" w:type="dxa"/>
              <w:end w:w="80" w:type="dxa"/>
            </w:tcMar>
          </w:tcPr>
          <w:p>
            <w:r>
              <w:rPr>
                <w:b/>
                <w:color w:val="FFFFFF"/>
                <w:sz w:val="16"/>
              </w:rPr>
              <w:t>Typical Technology</w:t>
            </w:r>
          </w:p>
        </w:tc>
        <w:tc>
          <w:tcPr>
            <w:tcW w:type="dxa" w:w="1656"/>
            <w:shd w:fill="123B5A"/>
            <w:vAlign w:val="center"/>
            <w:tcMar>
              <w:top w:w="70" w:type="dxa"/>
              <w:start w:w="80" w:type="dxa"/>
              <w:bottom w:w="70" w:type="dxa"/>
              <w:end w:w="80" w:type="dxa"/>
            </w:tcMar>
          </w:tcPr>
          <w:p>
            <w:r>
              <w:rPr>
                <w:b/>
                <w:color w:val="FFFFFF"/>
                <w:sz w:val="16"/>
              </w:rPr>
              <w:t>Authoritative?</w:t>
            </w:r>
          </w:p>
        </w:tc>
      </w:tr>
      <w:tr>
        <w:tc>
          <w:tcPr>
            <w:tcW w:type="dxa" w:w="2592"/>
            <w:tcMar>
              <w:top w:w="70" w:type="dxa"/>
              <w:start w:w="80" w:type="dxa"/>
              <w:bottom w:w="70" w:type="dxa"/>
              <w:end w:w="80" w:type="dxa"/>
            </w:tcMar>
            <w:vAlign w:val="top"/>
          </w:tcPr>
          <w:p>
            <w:pPr>
              <w:spacing w:after="0"/>
            </w:pPr>
            <w:r>
              <w:rPr>
                <w:color w:val="12202B"/>
                <w:sz w:val="16"/>
              </w:rPr>
              <w:t>Capture</w:t>
            </w:r>
          </w:p>
        </w:tc>
        <w:tc>
          <w:tcPr>
            <w:tcW w:type="dxa" w:w="2592"/>
            <w:tcMar>
              <w:top w:w="70" w:type="dxa"/>
              <w:start w:w="80" w:type="dxa"/>
              <w:bottom w:w="70" w:type="dxa"/>
              <w:end w:w="80" w:type="dxa"/>
            </w:tcMar>
            <w:vAlign w:val="top"/>
          </w:tcPr>
          <w:p>
            <w:pPr>
              <w:spacing w:after="0"/>
            </w:pPr>
            <w:r>
              <w:rPr>
                <w:color w:val="12202B"/>
                <w:sz w:val="16"/>
              </w:rPr>
              <w:t>Acquire image/audio/sensor/metadata; run local quality checks</w:t>
            </w:r>
          </w:p>
        </w:tc>
        <w:tc>
          <w:tcPr>
            <w:tcW w:type="dxa" w:w="2592"/>
            <w:tcMar>
              <w:top w:w="70" w:type="dxa"/>
              <w:start w:w="80" w:type="dxa"/>
              <w:bottom w:w="70" w:type="dxa"/>
              <w:end w:w="80" w:type="dxa"/>
            </w:tcMar>
            <w:vAlign w:val="top"/>
          </w:tcPr>
          <w:p>
            <w:pPr>
              <w:spacing w:after="0"/>
            </w:pPr>
            <w:r>
              <w:rPr>
                <w:color w:val="12202B"/>
                <w:sz w:val="16"/>
              </w:rPr>
              <w:t>Swift/iOS, Android, cameras, sensors</w:t>
            </w:r>
          </w:p>
        </w:tc>
        <w:tc>
          <w:tcPr>
            <w:tcW w:type="dxa" w:w="2592"/>
            <w:tcMar>
              <w:top w:w="70" w:type="dxa"/>
              <w:start w:w="80" w:type="dxa"/>
              <w:bottom w:w="70" w:type="dxa"/>
              <w:end w:w="80" w:type="dxa"/>
            </w:tcMar>
            <w:vAlign w:val="top"/>
          </w:tcPr>
          <w:p>
            <w:pPr>
              <w:spacing w:after="0"/>
            </w:pPr>
            <w:r>
              <w:rPr>
                <w:color w:val="12202B"/>
                <w:sz w:val="16"/>
              </w:rPr>
              <w:t>No</w:t>
            </w:r>
          </w:p>
        </w:tc>
      </w:tr>
      <w:tr>
        <w:tc>
          <w:tcPr>
            <w:tcW w:type="dxa" w:w="2592"/>
            <w:tcMar>
              <w:top w:w="70" w:type="dxa"/>
              <w:start w:w="80" w:type="dxa"/>
              <w:bottom w:w="70" w:type="dxa"/>
              <w:end w:w="80" w:type="dxa"/>
            </w:tcMar>
            <w:vAlign w:val="top"/>
          </w:tcPr>
          <w:p>
            <w:pPr>
              <w:spacing w:after="0"/>
            </w:pPr>
            <w:r>
              <w:rPr>
                <w:color w:val="12202B"/>
                <w:sz w:val="16"/>
              </w:rPr>
              <w:t>Perception</w:t>
            </w:r>
          </w:p>
        </w:tc>
        <w:tc>
          <w:tcPr>
            <w:tcW w:type="dxa" w:w="2592"/>
            <w:tcMar>
              <w:top w:w="70" w:type="dxa"/>
              <w:start w:w="80" w:type="dxa"/>
              <w:bottom w:w="70" w:type="dxa"/>
              <w:end w:w="80" w:type="dxa"/>
            </w:tcMar>
            <w:vAlign w:val="top"/>
          </w:tcPr>
          <w:p>
            <w:pPr>
              <w:spacing w:after="0"/>
            </w:pPr>
            <w:r>
              <w:rPr>
                <w:color w:val="12202B"/>
                <w:sz w:val="16"/>
              </w:rPr>
              <w:t>Detection, classification, OCR, embeddings, geometry, sensor fusion</w:t>
            </w:r>
          </w:p>
        </w:tc>
        <w:tc>
          <w:tcPr>
            <w:tcW w:type="dxa" w:w="2592"/>
            <w:tcMar>
              <w:top w:w="70" w:type="dxa"/>
              <w:start w:w="80" w:type="dxa"/>
              <w:bottom w:w="70" w:type="dxa"/>
              <w:end w:w="80" w:type="dxa"/>
            </w:tcMar>
            <w:vAlign w:val="top"/>
          </w:tcPr>
          <w:p>
            <w:pPr>
              <w:spacing w:after="0"/>
            </w:pPr>
            <w:r>
              <w:rPr>
                <w:color w:val="12202B"/>
                <w:sz w:val="16"/>
              </w:rPr>
              <w:t>Python/FastAPI, CV/ML runtimes</w:t>
            </w:r>
          </w:p>
        </w:tc>
        <w:tc>
          <w:tcPr>
            <w:tcW w:type="dxa" w:w="2592"/>
            <w:tcMar>
              <w:top w:w="70" w:type="dxa"/>
              <w:start w:w="80" w:type="dxa"/>
              <w:bottom w:w="70" w:type="dxa"/>
              <w:end w:w="80" w:type="dxa"/>
            </w:tcMar>
            <w:vAlign w:val="top"/>
          </w:tcPr>
          <w:p>
            <w:pPr>
              <w:spacing w:after="0"/>
            </w:pPr>
            <w:r>
              <w:rPr>
                <w:color w:val="12202B"/>
                <w:sz w:val="16"/>
              </w:rPr>
              <w:t>No</w:t>
            </w:r>
          </w:p>
        </w:tc>
      </w:tr>
      <w:tr>
        <w:tc>
          <w:tcPr>
            <w:tcW w:type="dxa" w:w="2592"/>
            <w:tcMar>
              <w:top w:w="70" w:type="dxa"/>
              <w:start w:w="80" w:type="dxa"/>
              <w:bottom w:w="70" w:type="dxa"/>
              <w:end w:w="80" w:type="dxa"/>
            </w:tcMar>
            <w:vAlign w:val="top"/>
          </w:tcPr>
          <w:p>
            <w:pPr>
              <w:spacing w:after="0"/>
            </w:pPr>
            <w:r>
              <w:rPr>
                <w:color w:val="12202B"/>
                <w:sz w:val="16"/>
              </w:rPr>
              <w:t>Normalization</w:t>
            </w:r>
          </w:p>
        </w:tc>
        <w:tc>
          <w:tcPr>
            <w:tcW w:type="dxa" w:w="2592"/>
            <w:tcMar>
              <w:top w:w="70" w:type="dxa"/>
              <w:start w:w="80" w:type="dxa"/>
              <w:bottom w:w="70" w:type="dxa"/>
              <w:end w:w="80" w:type="dxa"/>
            </w:tcMar>
            <w:vAlign w:val="top"/>
          </w:tcPr>
          <w:p>
            <w:pPr>
              <w:spacing w:after="0"/>
            </w:pPr>
            <w:r>
              <w:rPr>
                <w:color w:val="12202B"/>
                <w:sz w:val="16"/>
              </w:rPr>
              <w:t>Canonicalize observations and validate schema/freshness</w:t>
            </w:r>
          </w:p>
        </w:tc>
        <w:tc>
          <w:tcPr>
            <w:tcW w:type="dxa" w:w="2592"/>
            <w:tcMar>
              <w:top w:w="70" w:type="dxa"/>
              <w:start w:w="80" w:type="dxa"/>
              <w:bottom w:w="70" w:type="dxa"/>
              <w:end w:w="80" w:type="dxa"/>
            </w:tcMar>
            <w:vAlign w:val="top"/>
          </w:tcPr>
          <w:p>
            <w:pPr>
              <w:spacing w:after="0"/>
            </w:pPr>
            <w:r>
              <w:rPr>
                <w:color w:val="12202B"/>
                <w:sz w:val="16"/>
              </w:rPr>
              <w:t>Rust/Python boundary contract</w:t>
            </w:r>
          </w:p>
        </w:tc>
        <w:tc>
          <w:tcPr>
            <w:tcW w:type="dxa" w:w="2592"/>
            <w:tcMar>
              <w:top w:w="70" w:type="dxa"/>
              <w:start w:w="80" w:type="dxa"/>
              <w:bottom w:w="70" w:type="dxa"/>
              <w:end w:w="80" w:type="dxa"/>
            </w:tcMar>
            <w:vAlign w:val="top"/>
          </w:tcPr>
          <w:p>
            <w:pPr>
              <w:spacing w:after="0"/>
            </w:pPr>
            <w:r>
              <w:rPr>
                <w:color w:val="12202B"/>
                <w:sz w:val="16"/>
              </w:rPr>
              <w:t>No</w:t>
            </w:r>
          </w:p>
        </w:tc>
      </w:tr>
      <w:tr>
        <w:tc>
          <w:tcPr>
            <w:tcW w:type="dxa" w:w="2592"/>
            <w:tcMar>
              <w:top w:w="70" w:type="dxa"/>
              <w:start w:w="80" w:type="dxa"/>
              <w:bottom w:w="70" w:type="dxa"/>
              <w:end w:w="80" w:type="dxa"/>
            </w:tcMar>
            <w:vAlign w:val="top"/>
          </w:tcPr>
          <w:p>
            <w:pPr>
              <w:spacing w:after="0"/>
            </w:pPr>
            <w:r>
              <w:rPr>
                <w:color w:val="12202B"/>
                <w:sz w:val="16"/>
              </w:rPr>
              <w:t>Policy Authority</w:t>
            </w:r>
          </w:p>
        </w:tc>
        <w:tc>
          <w:tcPr>
            <w:tcW w:type="dxa" w:w="2592"/>
            <w:tcMar>
              <w:top w:w="70" w:type="dxa"/>
              <w:start w:w="80" w:type="dxa"/>
              <w:bottom w:w="70" w:type="dxa"/>
              <w:end w:w="80" w:type="dxa"/>
            </w:tcMar>
            <w:vAlign w:val="top"/>
          </w:tcPr>
          <w:p>
            <w:pPr>
              <w:spacing w:after="0"/>
            </w:pPr>
            <w:r>
              <w:rPr>
                <w:color w:val="12202B"/>
                <w:sz w:val="16"/>
              </w:rPr>
              <w:t>Evaluate versioned deterministic policy</w:t>
            </w:r>
          </w:p>
        </w:tc>
        <w:tc>
          <w:tcPr>
            <w:tcW w:type="dxa" w:w="2592"/>
            <w:tcMar>
              <w:top w:w="70" w:type="dxa"/>
              <w:start w:w="80" w:type="dxa"/>
              <w:bottom w:w="70" w:type="dxa"/>
              <w:end w:w="80" w:type="dxa"/>
            </w:tcMar>
            <w:vAlign w:val="top"/>
          </w:tcPr>
          <w:p>
            <w:pPr>
              <w:spacing w:after="0"/>
            </w:pPr>
            <w:r>
              <w:rPr>
                <w:color w:val="12202B"/>
                <w:sz w:val="16"/>
              </w:rPr>
              <w:t>RustGate</w:t>
            </w:r>
          </w:p>
        </w:tc>
        <w:tc>
          <w:tcPr>
            <w:tcW w:type="dxa" w:w="2592"/>
            <w:tcMar>
              <w:top w:w="70" w:type="dxa"/>
              <w:start w:w="80" w:type="dxa"/>
              <w:bottom w:w="70" w:type="dxa"/>
              <w:end w:w="80" w:type="dxa"/>
            </w:tcMar>
            <w:vAlign w:val="top"/>
          </w:tcPr>
          <w:p>
            <w:pPr>
              <w:spacing w:after="0"/>
            </w:pPr>
            <w:r>
              <w:rPr>
                <w:color w:val="12202B"/>
                <w:sz w:val="16"/>
              </w:rPr>
              <w:t>Yes — policy outcome</w:t>
            </w:r>
          </w:p>
        </w:tc>
      </w:tr>
      <w:tr>
        <w:tc>
          <w:tcPr>
            <w:tcW w:type="dxa" w:w="2592"/>
            <w:tcMar>
              <w:top w:w="70" w:type="dxa"/>
              <w:start w:w="80" w:type="dxa"/>
              <w:bottom w:w="70" w:type="dxa"/>
              <w:end w:w="80" w:type="dxa"/>
            </w:tcMar>
            <w:vAlign w:val="top"/>
          </w:tcPr>
          <w:p>
            <w:pPr>
              <w:spacing w:after="0"/>
            </w:pPr>
            <w:r>
              <w:rPr>
                <w:color w:val="12202B"/>
                <w:sz w:val="16"/>
              </w:rPr>
              <w:t>Enforcement</w:t>
            </w:r>
          </w:p>
        </w:tc>
        <w:tc>
          <w:tcPr>
            <w:tcW w:type="dxa" w:w="2592"/>
            <w:tcMar>
              <w:top w:w="70" w:type="dxa"/>
              <w:start w:w="80" w:type="dxa"/>
              <w:bottom w:w="70" w:type="dxa"/>
              <w:end w:w="80" w:type="dxa"/>
            </w:tcMar>
            <w:vAlign w:val="top"/>
          </w:tcPr>
          <w:p>
            <w:pPr>
              <w:spacing w:after="0"/>
            </w:pPr>
            <w:r>
              <w:rPr>
                <w:color w:val="12202B"/>
                <w:sz w:val="16"/>
              </w:rPr>
              <w:t>Translate authorized outcome into alert, task, access, stop/allow, etc.</w:t>
            </w:r>
          </w:p>
        </w:tc>
        <w:tc>
          <w:tcPr>
            <w:tcW w:type="dxa" w:w="2592"/>
            <w:tcMar>
              <w:top w:w="70" w:type="dxa"/>
              <w:start w:w="80" w:type="dxa"/>
              <w:bottom w:w="70" w:type="dxa"/>
              <w:end w:w="80" w:type="dxa"/>
            </w:tcMar>
            <w:vAlign w:val="top"/>
          </w:tcPr>
          <w:p>
            <w:pPr>
              <w:spacing w:after="0"/>
            </w:pPr>
            <w:r>
              <w:rPr>
                <w:color w:val="12202B"/>
                <w:sz w:val="16"/>
              </w:rPr>
              <w:t>EdgeGuard / integration adapter</w:t>
            </w:r>
          </w:p>
        </w:tc>
        <w:tc>
          <w:tcPr>
            <w:tcW w:type="dxa" w:w="2592"/>
            <w:tcMar>
              <w:top w:w="70" w:type="dxa"/>
              <w:start w:w="80" w:type="dxa"/>
              <w:bottom w:w="70" w:type="dxa"/>
              <w:end w:w="80" w:type="dxa"/>
            </w:tcMar>
            <w:vAlign w:val="top"/>
          </w:tcPr>
          <w:p>
            <w:pPr>
              <w:spacing w:after="0"/>
            </w:pPr>
            <w:r>
              <w:rPr>
                <w:color w:val="12202B"/>
                <w:sz w:val="16"/>
              </w:rPr>
              <w:t>Only within delegated policy scope</w:t>
            </w:r>
          </w:p>
        </w:tc>
      </w:tr>
      <w:tr>
        <w:tc>
          <w:tcPr>
            <w:tcW w:type="dxa" w:w="2592"/>
            <w:tcMar>
              <w:top w:w="70" w:type="dxa"/>
              <w:start w:w="80" w:type="dxa"/>
              <w:bottom w:w="70" w:type="dxa"/>
              <w:end w:w="80" w:type="dxa"/>
            </w:tcMar>
            <w:vAlign w:val="top"/>
          </w:tcPr>
          <w:p>
            <w:pPr>
              <w:spacing w:after="0"/>
            </w:pPr>
            <w:r>
              <w:rPr>
                <w:color w:val="12202B"/>
                <w:sz w:val="16"/>
              </w:rPr>
              <w:t>Evidence</w:t>
            </w:r>
          </w:p>
        </w:tc>
        <w:tc>
          <w:tcPr>
            <w:tcW w:type="dxa" w:w="2592"/>
            <w:tcMar>
              <w:top w:w="70" w:type="dxa"/>
              <w:start w:w="80" w:type="dxa"/>
              <w:bottom w:w="70" w:type="dxa"/>
              <w:end w:w="80" w:type="dxa"/>
            </w:tcMar>
            <w:vAlign w:val="top"/>
          </w:tcPr>
          <w:p>
            <w:pPr>
              <w:spacing w:after="0"/>
            </w:pPr>
            <w:r>
              <w:rPr>
                <w:color w:val="12202B"/>
                <w:sz w:val="16"/>
              </w:rPr>
              <w:t>Commit signed/hash-chained decision records and evidence references</w:t>
            </w:r>
          </w:p>
        </w:tc>
        <w:tc>
          <w:tcPr>
            <w:tcW w:type="dxa" w:w="2592"/>
            <w:tcMar>
              <w:top w:w="70" w:type="dxa"/>
              <w:start w:w="80" w:type="dxa"/>
              <w:bottom w:w="70" w:type="dxa"/>
              <w:end w:w="80" w:type="dxa"/>
            </w:tcMar>
            <w:vAlign w:val="top"/>
          </w:tcPr>
          <w:p>
            <w:pPr>
              <w:spacing w:after="0"/>
            </w:pPr>
            <w:r>
              <w:rPr>
                <w:color w:val="12202B"/>
                <w:sz w:val="16"/>
              </w:rPr>
              <w:t>Evidence service, Key Vault/HSM, ledger</w:t>
            </w:r>
          </w:p>
        </w:tc>
        <w:tc>
          <w:tcPr>
            <w:tcW w:type="dxa" w:w="2592"/>
            <w:tcMar>
              <w:top w:w="70" w:type="dxa"/>
              <w:start w:w="80" w:type="dxa"/>
              <w:bottom w:w="70" w:type="dxa"/>
              <w:end w:w="80" w:type="dxa"/>
            </w:tcMar>
            <w:vAlign w:val="top"/>
          </w:tcPr>
          <w:p>
            <w:pPr>
              <w:spacing w:after="0"/>
            </w:pPr>
            <w:r>
              <w:rPr>
                <w:color w:val="12202B"/>
                <w:sz w:val="16"/>
              </w:rPr>
              <w:t>Yes — audit record</w:t>
            </w:r>
          </w:p>
        </w:tc>
      </w:tr>
      <w:tr>
        <w:tc>
          <w:tcPr>
            <w:tcW w:type="dxa" w:w="2592"/>
            <w:tcMar>
              <w:top w:w="70" w:type="dxa"/>
              <w:start w:w="80" w:type="dxa"/>
              <w:bottom w:w="70" w:type="dxa"/>
              <w:end w:w="80" w:type="dxa"/>
            </w:tcMar>
            <w:vAlign w:val="top"/>
          </w:tcPr>
          <w:p>
            <w:pPr>
              <w:spacing w:after="0"/>
            </w:pPr>
            <w:r>
              <w:rPr>
                <w:color w:val="12202B"/>
                <w:sz w:val="16"/>
              </w:rPr>
              <w:t>State &amp; Workflow</w:t>
            </w:r>
          </w:p>
        </w:tc>
        <w:tc>
          <w:tcPr>
            <w:tcW w:type="dxa" w:w="2592"/>
            <w:tcMar>
              <w:top w:w="70" w:type="dxa"/>
              <w:start w:w="80" w:type="dxa"/>
              <w:bottom w:w="70" w:type="dxa"/>
              <w:end w:w="80" w:type="dxa"/>
            </w:tcMar>
            <w:vAlign w:val="top"/>
          </w:tcPr>
          <w:p>
            <w:pPr>
              <w:spacing w:after="0"/>
            </w:pPr>
            <w:r>
              <w:rPr>
                <w:color w:val="12202B"/>
                <w:sz w:val="16"/>
              </w:rPr>
              <w:t>Tenant state, policy metadata, cases, jobs, integrations</w:t>
            </w:r>
          </w:p>
        </w:tc>
        <w:tc>
          <w:tcPr>
            <w:tcW w:type="dxa" w:w="2592"/>
            <w:tcMar>
              <w:top w:w="70" w:type="dxa"/>
              <w:start w:w="80" w:type="dxa"/>
              <w:bottom w:w="70" w:type="dxa"/>
              <w:end w:w="80" w:type="dxa"/>
            </w:tcMar>
            <w:vAlign w:val="top"/>
          </w:tcPr>
          <w:p>
            <w:pPr>
              <w:spacing w:after="0"/>
            </w:pPr>
            <w:r>
              <w:rPr>
                <w:color w:val="12202B"/>
                <w:sz w:val="16"/>
              </w:rPr>
              <w:t>PostgreSQL, event bus, APIs</w:t>
            </w:r>
          </w:p>
        </w:tc>
        <w:tc>
          <w:tcPr>
            <w:tcW w:type="dxa" w:w="2592"/>
            <w:tcMar>
              <w:top w:w="70" w:type="dxa"/>
              <w:start w:w="80" w:type="dxa"/>
              <w:bottom w:w="70" w:type="dxa"/>
              <w:end w:w="80" w:type="dxa"/>
            </w:tcMar>
            <w:vAlign w:val="top"/>
          </w:tcPr>
          <w:p>
            <w:pPr>
              <w:spacing w:after="0"/>
            </w:pPr>
            <w:r>
              <w:rPr>
                <w:color w:val="12202B"/>
                <w:sz w:val="16"/>
              </w:rPr>
              <w:t>No</w:t>
            </w:r>
          </w:p>
        </w:tc>
      </w:tr>
      <w:tr>
        <w:tc>
          <w:tcPr>
            <w:tcW w:type="dxa" w:w="2592"/>
            <w:tcMar>
              <w:top w:w="70" w:type="dxa"/>
              <w:start w:w="80" w:type="dxa"/>
              <w:bottom w:w="70" w:type="dxa"/>
              <w:end w:w="80" w:type="dxa"/>
            </w:tcMar>
            <w:vAlign w:val="top"/>
          </w:tcPr>
          <w:p>
            <w:pPr>
              <w:spacing w:after="0"/>
            </w:pPr>
            <w:r>
              <w:rPr>
                <w:color w:val="12202B"/>
                <w:sz w:val="16"/>
              </w:rPr>
              <w:t>Operations</w:t>
            </w:r>
          </w:p>
        </w:tc>
        <w:tc>
          <w:tcPr>
            <w:tcW w:type="dxa" w:w="2592"/>
            <w:tcMar>
              <w:top w:w="70" w:type="dxa"/>
              <w:start w:w="80" w:type="dxa"/>
              <w:bottom w:w="70" w:type="dxa"/>
              <w:end w:w="80" w:type="dxa"/>
            </w:tcMar>
            <w:vAlign w:val="top"/>
          </w:tcPr>
          <w:p>
            <w:pPr>
              <w:spacing w:after="0"/>
            </w:pPr>
            <w:r>
              <w:rPr>
                <w:color w:val="12202B"/>
                <w:sz w:val="16"/>
              </w:rPr>
              <w:t>Metrics, logs, traces, SLOs, incident alerts</w:t>
            </w:r>
          </w:p>
        </w:tc>
        <w:tc>
          <w:tcPr>
            <w:tcW w:type="dxa" w:w="2592"/>
            <w:tcMar>
              <w:top w:w="70" w:type="dxa"/>
              <w:start w:w="80" w:type="dxa"/>
              <w:bottom w:w="70" w:type="dxa"/>
              <w:end w:w="80" w:type="dxa"/>
            </w:tcMar>
            <w:vAlign w:val="top"/>
          </w:tcPr>
          <w:p>
            <w:pPr>
              <w:spacing w:after="0"/>
            </w:pPr>
            <w:r>
              <w:rPr>
                <w:color w:val="12202B"/>
                <w:sz w:val="16"/>
              </w:rPr>
              <w:t>Azure Monitor / Application Insights</w:t>
            </w:r>
          </w:p>
        </w:tc>
        <w:tc>
          <w:tcPr>
            <w:tcW w:type="dxa" w:w="2592"/>
            <w:tcMar>
              <w:top w:w="70" w:type="dxa"/>
              <w:start w:w="80" w:type="dxa"/>
              <w:bottom w:w="70" w:type="dxa"/>
              <w:end w:w="80" w:type="dxa"/>
            </w:tcMar>
            <w:vAlign w:val="top"/>
          </w:tcPr>
          <w:p>
            <w:pPr>
              <w:spacing w:after="0"/>
            </w:pPr>
            <w:r>
              <w:rPr>
                <w:color w:val="12202B"/>
                <w:sz w:val="16"/>
              </w:rPr>
              <w:t>No</w:t>
            </w:r>
          </w:p>
        </w:tc>
      </w:tr>
    </w:tbl>
    <w:p>
      <w:pPr>
        <w:jc w:val="center"/>
      </w:pPr>
      <w:r>
        <w:drawing>
          <wp:inline xmlns:a="http://schemas.openxmlformats.org/drawingml/2006/main" xmlns:pic="http://schemas.openxmlformats.org/drawingml/2006/picture">
            <wp:extent cx="6400800" cy="4604607"/>
            <wp:docPr id="2" name="Picture 2"/>
            <wp:cNvGraphicFramePr>
              <a:graphicFrameLocks noChangeAspect="1"/>
            </wp:cNvGraphicFramePr>
            <a:graphic>
              <a:graphicData uri="http://schemas.openxmlformats.org/drawingml/2006/picture">
                <pic:pic>
                  <pic:nvPicPr>
                    <pic:cNvPr id="0" name="IMG_0818.jpeg"/>
                    <pic:cNvPicPr/>
                  </pic:nvPicPr>
                  <pic:blipFill>
                    <a:blip r:embed="rId12"/>
                    <a:stretch>
                      <a:fillRect/>
                    </a:stretch>
                  </pic:blipFill>
                  <pic:spPr>
                    <a:xfrm>
                      <a:off x="0" y="0"/>
                      <a:ext cx="6400800" cy="4604607"/>
                    </a:xfrm>
                    <a:prstGeom prst="rect"/>
                  </pic:spPr>
                </pic:pic>
              </a:graphicData>
            </a:graphic>
          </wp:inline>
        </w:drawing>
      </w:r>
    </w:p>
    <w:p>
      <w:pPr>
        <w:jc w:val="center"/>
      </w:pPr>
      <w:r>
        <w:rPr>
          <w:i/>
          <w:sz w:val="16"/>
        </w:rPr>
        <w:t>Figure 1. Source workflow concept. The normative corrections in this specification supersede any conflicting labels inside the source image.</w:t>
      </w:r>
    </w:p>
    <w:p>
      <w:pPr>
        <w:pStyle w:val="Heading1"/>
      </w:pPr>
      <w:r>
        <w:t>4. Azure Enterprise Reference Deployment</w:t>
      </w:r>
    </w:p>
    <w:p>
      <w:r>
        <w:t>The production reference profile uses Azure services as a deployment implementation, not as the product boundary. Equivalent customer-approved services may be substituted while preserving the trust boundaries and contracts below.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shd w:fill="123B5A"/>
            <w:vAlign w:val="center"/>
            <w:tcMar>
              <w:top w:w="70" w:type="dxa"/>
              <w:start w:w="80" w:type="dxa"/>
              <w:bottom w:w="70" w:type="dxa"/>
              <w:end w:w="80" w:type="dxa"/>
            </w:tcMar>
          </w:tcPr>
          <w:p>
            <w:r>
              <w:rPr>
                <w:b/>
                <w:color w:val="FFFFFF"/>
                <w:sz w:val="16"/>
              </w:rPr>
              <w:t>Zone</w:t>
            </w:r>
          </w:p>
        </w:tc>
        <w:tc>
          <w:tcPr>
            <w:tcW w:type="dxa" w:w="3384"/>
            <w:shd w:fill="123B5A"/>
            <w:vAlign w:val="center"/>
            <w:tcMar>
              <w:top w:w="70" w:type="dxa"/>
              <w:start w:w="80" w:type="dxa"/>
              <w:bottom w:w="70" w:type="dxa"/>
              <w:end w:w="80" w:type="dxa"/>
            </w:tcMar>
          </w:tcPr>
          <w:p>
            <w:r>
              <w:rPr>
                <w:b/>
                <w:color w:val="FFFFFF"/>
                <w:sz w:val="16"/>
              </w:rPr>
              <w:t>Reference Components</w:t>
            </w:r>
          </w:p>
        </w:tc>
        <w:tc>
          <w:tcPr>
            <w:tcW w:type="dxa" w:w="5040"/>
            <w:shd w:fill="123B5A"/>
            <w:vAlign w:val="center"/>
            <w:tcMar>
              <w:top w:w="70" w:type="dxa"/>
              <w:start w:w="80" w:type="dxa"/>
              <w:bottom w:w="70" w:type="dxa"/>
              <w:end w:w="80" w:type="dxa"/>
            </w:tcMar>
          </w:tcPr>
          <w:p>
            <w:r>
              <w:rPr>
                <w:b/>
                <w:color w:val="FFFFFF"/>
                <w:sz w:val="16"/>
              </w:rPr>
              <w:t>Requirement</w:t>
            </w:r>
          </w:p>
        </w:tc>
      </w:tr>
      <w:tr>
        <w:tc>
          <w:tcPr>
            <w:tcW w:type="dxa" w:w="3456"/>
            <w:tcMar>
              <w:top w:w="70" w:type="dxa"/>
              <w:start w:w="80" w:type="dxa"/>
              <w:bottom w:w="70" w:type="dxa"/>
              <w:end w:w="80" w:type="dxa"/>
            </w:tcMar>
            <w:vAlign w:val="top"/>
          </w:tcPr>
          <w:p>
            <w:pPr>
              <w:spacing w:after="0"/>
            </w:pPr>
            <w:r>
              <w:rPr>
                <w:color w:val="12202B"/>
                <w:sz w:val="16"/>
              </w:rPr>
              <w:t>Public edge</w:t>
            </w:r>
          </w:p>
        </w:tc>
        <w:tc>
          <w:tcPr>
            <w:tcW w:type="dxa" w:w="3456"/>
            <w:tcMar>
              <w:top w:w="70" w:type="dxa"/>
              <w:start w:w="80" w:type="dxa"/>
              <w:bottom w:w="70" w:type="dxa"/>
              <w:end w:w="80" w:type="dxa"/>
            </w:tcMar>
            <w:vAlign w:val="top"/>
          </w:tcPr>
          <w:p>
            <w:pPr>
              <w:spacing w:after="0"/>
            </w:pPr>
            <w:r>
              <w:rPr>
                <w:color w:val="12202B"/>
                <w:sz w:val="16"/>
              </w:rPr>
              <w:t>Azure Front Door + WAF</w:t>
            </w:r>
          </w:p>
        </w:tc>
        <w:tc>
          <w:tcPr>
            <w:tcW w:type="dxa" w:w="3456"/>
            <w:tcMar>
              <w:top w:w="70" w:type="dxa"/>
              <w:start w:w="80" w:type="dxa"/>
              <w:bottom w:w="70" w:type="dxa"/>
              <w:end w:w="80" w:type="dxa"/>
            </w:tcMar>
            <w:vAlign w:val="top"/>
          </w:tcPr>
          <w:p>
            <w:pPr>
              <w:spacing w:after="0"/>
            </w:pPr>
            <w:r>
              <w:rPr>
                <w:color w:val="12202B"/>
                <w:sz w:val="16"/>
              </w:rPr>
              <w:t>Default global ingress for web/mobile APIs, TLS termination, routing, and WAF.</w:t>
            </w:r>
          </w:p>
        </w:tc>
      </w:tr>
      <w:tr>
        <w:tc>
          <w:tcPr>
            <w:tcW w:type="dxa" w:w="3456"/>
            <w:tcMar>
              <w:top w:w="70" w:type="dxa"/>
              <w:start w:w="80" w:type="dxa"/>
              <w:bottom w:w="70" w:type="dxa"/>
              <w:end w:w="80" w:type="dxa"/>
            </w:tcMar>
            <w:vAlign w:val="top"/>
          </w:tcPr>
          <w:p>
            <w:pPr>
              <w:spacing w:after="0"/>
            </w:pPr>
            <w:r>
              <w:rPr>
                <w:color w:val="12202B"/>
                <w:sz w:val="16"/>
              </w:rPr>
              <w:t>Identity</w:t>
            </w:r>
          </w:p>
        </w:tc>
        <w:tc>
          <w:tcPr>
            <w:tcW w:type="dxa" w:w="3456"/>
            <w:tcMar>
              <w:top w:w="70" w:type="dxa"/>
              <w:start w:w="80" w:type="dxa"/>
              <w:bottom w:w="70" w:type="dxa"/>
              <w:end w:w="80" w:type="dxa"/>
            </w:tcMar>
            <w:vAlign w:val="top"/>
          </w:tcPr>
          <w:p>
            <w:pPr>
              <w:spacing w:after="0"/>
            </w:pPr>
            <w:r>
              <w:rPr>
                <w:color w:val="12202B"/>
                <w:sz w:val="16"/>
              </w:rPr>
              <w:t>Microsoft Entra ID</w:t>
            </w:r>
          </w:p>
        </w:tc>
        <w:tc>
          <w:tcPr>
            <w:tcW w:type="dxa" w:w="3456"/>
            <w:tcMar>
              <w:top w:w="70" w:type="dxa"/>
              <w:start w:w="80" w:type="dxa"/>
              <w:bottom w:w="70" w:type="dxa"/>
              <w:end w:w="80" w:type="dxa"/>
            </w:tcMar>
            <w:vAlign w:val="top"/>
          </w:tcPr>
          <w:p>
            <w:pPr>
              <w:spacing w:after="0"/>
            </w:pPr>
            <w:r>
              <w:rPr>
                <w:color w:val="12202B"/>
                <w:sz w:val="16"/>
              </w:rPr>
              <w:t>Human and workload identity; RBAC/claims; managed identity where supported.</w:t>
            </w:r>
          </w:p>
        </w:tc>
      </w:tr>
      <w:tr>
        <w:tc>
          <w:tcPr>
            <w:tcW w:type="dxa" w:w="3456"/>
            <w:tcMar>
              <w:top w:w="70" w:type="dxa"/>
              <w:start w:w="80" w:type="dxa"/>
              <w:bottom w:w="70" w:type="dxa"/>
              <w:end w:w="80" w:type="dxa"/>
            </w:tcMar>
            <w:vAlign w:val="top"/>
          </w:tcPr>
          <w:p>
            <w:pPr>
              <w:spacing w:after="0"/>
            </w:pPr>
            <w:r>
              <w:rPr>
                <w:color w:val="12202B"/>
                <w:sz w:val="16"/>
              </w:rPr>
              <w:t>API / tenant routing</w:t>
            </w:r>
          </w:p>
        </w:tc>
        <w:tc>
          <w:tcPr>
            <w:tcW w:type="dxa" w:w="3456"/>
            <w:tcMar>
              <w:top w:w="70" w:type="dxa"/>
              <w:start w:w="80" w:type="dxa"/>
              <w:bottom w:w="70" w:type="dxa"/>
              <w:end w:w="80" w:type="dxa"/>
            </w:tcMar>
            <w:vAlign w:val="top"/>
          </w:tcPr>
          <w:p>
            <w:pPr>
              <w:spacing w:after="0"/>
            </w:pPr>
            <w:r>
              <w:rPr>
                <w:color w:val="12202B"/>
                <w:sz w:val="16"/>
              </w:rPr>
              <w:t>API ingress + tenant context service</w:t>
            </w:r>
          </w:p>
        </w:tc>
        <w:tc>
          <w:tcPr>
            <w:tcW w:type="dxa" w:w="3456"/>
            <w:tcMar>
              <w:top w:w="70" w:type="dxa"/>
              <w:start w:w="80" w:type="dxa"/>
              <w:bottom w:w="70" w:type="dxa"/>
              <w:end w:w="80" w:type="dxa"/>
            </w:tcMar>
            <w:vAlign w:val="top"/>
          </w:tcPr>
          <w:p>
            <w:pPr>
              <w:spacing w:after="0"/>
            </w:pPr>
            <w:r>
              <w:rPr>
                <w:color w:val="12202B"/>
                <w:sz w:val="16"/>
              </w:rPr>
              <w:t>Authenticate, authorize, derive tenant server-side, and route to services.</w:t>
            </w:r>
          </w:p>
        </w:tc>
      </w:tr>
      <w:tr>
        <w:tc>
          <w:tcPr>
            <w:tcW w:type="dxa" w:w="3456"/>
            <w:tcMar>
              <w:top w:w="70" w:type="dxa"/>
              <w:start w:w="80" w:type="dxa"/>
              <w:bottom w:w="70" w:type="dxa"/>
              <w:end w:w="80" w:type="dxa"/>
            </w:tcMar>
            <w:vAlign w:val="top"/>
          </w:tcPr>
          <w:p>
            <w:pPr>
              <w:spacing w:after="0"/>
            </w:pPr>
            <w:r>
              <w:rPr>
                <w:color w:val="12202B"/>
                <w:sz w:val="16"/>
              </w:rPr>
              <w:t>Compute</w:t>
            </w:r>
          </w:p>
        </w:tc>
        <w:tc>
          <w:tcPr>
            <w:tcW w:type="dxa" w:w="3456"/>
            <w:tcMar>
              <w:top w:w="70" w:type="dxa"/>
              <w:start w:w="80" w:type="dxa"/>
              <w:bottom w:w="70" w:type="dxa"/>
              <w:end w:w="80" w:type="dxa"/>
            </w:tcMar>
            <w:vAlign w:val="top"/>
          </w:tcPr>
          <w:p>
            <w:pPr>
              <w:spacing w:after="0"/>
            </w:pPr>
            <w:r>
              <w:rPr>
                <w:color w:val="12202B"/>
                <w:sz w:val="16"/>
              </w:rPr>
              <w:t>AKS + ACR</w:t>
            </w:r>
          </w:p>
        </w:tc>
        <w:tc>
          <w:tcPr>
            <w:tcW w:type="dxa" w:w="3456"/>
            <w:tcMar>
              <w:top w:w="70" w:type="dxa"/>
              <w:start w:w="80" w:type="dxa"/>
              <w:bottom w:w="70" w:type="dxa"/>
              <w:end w:w="80" w:type="dxa"/>
            </w:tcMar>
            <w:vAlign w:val="top"/>
          </w:tcPr>
          <w:p>
            <w:pPr>
              <w:spacing w:after="0"/>
            </w:pPr>
            <w:r>
              <w:rPr>
                <w:color w:val="12202B"/>
                <w:sz w:val="16"/>
              </w:rPr>
              <w:t>Run signed containerized services; admission controls SHOULD enforce image provenance.</w:t>
            </w:r>
          </w:p>
        </w:tc>
      </w:tr>
      <w:tr>
        <w:tc>
          <w:tcPr>
            <w:tcW w:type="dxa" w:w="3456"/>
            <w:tcMar>
              <w:top w:w="70" w:type="dxa"/>
              <w:start w:w="80" w:type="dxa"/>
              <w:bottom w:w="70" w:type="dxa"/>
              <w:end w:w="80" w:type="dxa"/>
            </w:tcMar>
            <w:vAlign w:val="top"/>
          </w:tcPr>
          <w:p>
            <w:pPr>
              <w:spacing w:after="0"/>
            </w:pPr>
            <w:r>
              <w:rPr>
                <w:color w:val="12202B"/>
                <w:sz w:val="16"/>
              </w:rPr>
              <w:t>AI Brain</w:t>
            </w:r>
          </w:p>
        </w:tc>
        <w:tc>
          <w:tcPr>
            <w:tcW w:type="dxa" w:w="3456"/>
            <w:tcMar>
              <w:top w:w="70" w:type="dxa"/>
              <w:start w:w="80" w:type="dxa"/>
              <w:bottom w:w="70" w:type="dxa"/>
              <w:end w:w="80" w:type="dxa"/>
            </w:tcMar>
            <w:vAlign w:val="top"/>
          </w:tcPr>
          <w:p>
            <w:pPr>
              <w:spacing w:after="0"/>
            </w:pPr>
            <w:r>
              <w:rPr>
                <w:color w:val="12202B"/>
                <w:sz w:val="16"/>
              </w:rPr>
              <w:t>Python/FastAPI + model runtimes</w:t>
            </w:r>
          </w:p>
        </w:tc>
        <w:tc>
          <w:tcPr>
            <w:tcW w:type="dxa" w:w="3456"/>
            <w:tcMar>
              <w:top w:w="70" w:type="dxa"/>
              <w:start w:w="80" w:type="dxa"/>
              <w:bottom w:w="70" w:type="dxa"/>
              <w:end w:w="80" w:type="dxa"/>
            </w:tcMar>
            <w:vAlign w:val="top"/>
          </w:tcPr>
          <w:p>
            <w:pPr>
              <w:spacing w:after="0"/>
            </w:pPr>
            <w:r>
              <w:rPr>
                <w:color w:val="12202B"/>
                <w:sz w:val="16"/>
              </w:rPr>
              <w:t>Generate structured observations only.</w:t>
            </w:r>
          </w:p>
        </w:tc>
      </w:tr>
      <w:tr>
        <w:tc>
          <w:tcPr>
            <w:tcW w:type="dxa" w:w="3456"/>
            <w:tcMar>
              <w:top w:w="70" w:type="dxa"/>
              <w:start w:w="80" w:type="dxa"/>
              <w:bottom w:w="70" w:type="dxa"/>
              <w:end w:w="80" w:type="dxa"/>
            </w:tcMar>
            <w:vAlign w:val="top"/>
          </w:tcPr>
          <w:p>
            <w:pPr>
              <w:spacing w:after="0"/>
            </w:pPr>
            <w:r>
              <w:rPr>
                <w:color w:val="12202B"/>
                <w:sz w:val="16"/>
              </w:rPr>
              <w:t>Policy authority</w:t>
            </w:r>
          </w:p>
        </w:tc>
        <w:tc>
          <w:tcPr>
            <w:tcW w:type="dxa" w:w="3456"/>
            <w:tcMar>
              <w:top w:w="70" w:type="dxa"/>
              <w:start w:w="80" w:type="dxa"/>
              <w:bottom w:w="70" w:type="dxa"/>
              <w:end w:w="80" w:type="dxa"/>
            </w:tcMar>
            <w:vAlign w:val="top"/>
          </w:tcPr>
          <w:p>
            <w:pPr>
              <w:spacing w:after="0"/>
            </w:pPr>
            <w:r>
              <w:rPr>
                <w:color w:val="12202B"/>
                <w:sz w:val="16"/>
              </w:rPr>
              <w:t>RustGate service/sidecar/edge binary</w:t>
            </w:r>
          </w:p>
        </w:tc>
        <w:tc>
          <w:tcPr>
            <w:tcW w:type="dxa" w:w="3456"/>
            <w:tcMar>
              <w:top w:w="70" w:type="dxa"/>
              <w:start w:w="80" w:type="dxa"/>
              <w:bottom w:w="70" w:type="dxa"/>
              <w:end w:w="80" w:type="dxa"/>
            </w:tcMar>
            <w:vAlign w:val="top"/>
          </w:tcPr>
          <w:p>
            <w:pPr>
              <w:spacing w:after="0"/>
            </w:pPr>
            <w:r>
              <w:rPr>
                <w:color w:val="12202B"/>
                <w:sz w:val="16"/>
              </w:rPr>
              <w:t>Evaluate pinned policy; return deterministic outcome.</w:t>
            </w:r>
          </w:p>
        </w:tc>
      </w:tr>
      <w:tr>
        <w:tc>
          <w:tcPr>
            <w:tcW w:type="dxa" w:w="3456"/>
            <w:tcMar>
              <w:top w:w="70" w:type="dxa"/>
              <w:start w:w="80" w:type="dxa"/>
              <w:bottom w:w="70" w:type="dxa"/>
              <w:end w:w="80" w:type="dxa"/>
            </w:tcMar>
            <w:vAlign w:val="top"/>
          </w:tcPr>
          <w:p>
            <w:pPr>
              <w:spacing w:after="0"/>
            </w:pPr>
            <w:r>
              <w:rPr>
                <w:color w:val="12202B"/>
                <w:sz w:val="16"/>
              </w:rPr>
              <w:t>Transactional state</w:t>
            </w:r>
          </w:p>
        </w:tc>
        <w:tc>
          <w:tcPr>
            <w:tcW w:type="dxa" w:w="3456"/>
            <w:tcMar>
              <w:top w:w="70" w:type="dxa"/>
              <w:start w:w="80" w:type="dxa"/>
              <w:bottom w:w="70" w:type="dxa"/>
              <w:end w:w="80" w:type="dxa"/>
            </w:tcMar>
            <w:vAlign w:val="top"/>
          </w:tcPr>
          <w:p>
            <w:pPr>
              <w:spacing w:after="0"/>
            </w:pPr>
            <w:r>
              <w:rPr>
                <w:color w:val="12202B"/>
                <w:sz w:val="16"/>
              </w:rPr>
              <w:t>Azure Database for PostgreSQL</w:t>
            </w:r>
          </w:p>
        </w:tc>
        <w:tc>
          <w:tcPr>
            <w:tcW w:type="dxa" w:w="3456"/>
            <w:tcMar>
              <w:top w:w="70" w:type="dxa"/>
              <w:start w:w="80" w:type="dxa"/>
              <w:bottom w:w="70" w:type="dxa"/>
              <w:end w:w="80" w:type="dxa"/>
            </w:tcMar>
            <w:vAlign w:val="top"/>
          </w:tcPr>
          <w:p>
            <w:pPr>
              <w:spacing w:after="0"/>
            </w:pPr>
            <w:r>
              <w:rPr>
                <w:color w:val="12202B"/>
                <w:sz w:val="16"/>
              </w:rPr>
              <w:t>Shared tenancy SHOULD use Row-Level Security; stronger isolation profiles may use schema/database separation.</w:t>
            </w:r>
          </w:p>
        </w:tc>
      </w:tr>
      <w:tr>
        <w:tc>
          <w:tcPr>
            <w:tcW w:type="dxa" w:w="3456"/>
            <w:tcMar>
              <w:top w:w="70" w:type="dxa"/>
              <w:start w:w="80" w:type="dxa"/>
              <w:bottom w:w="70" w:type="dxa"/>
              <w:end w:w="80" w:type="dxa"/>
            </w:tcMar>
            <w:vAlign w:val="top"/>
          </w:tcPr>
          <w:p>
            <w:pPr>
              <w:spacing w:after="0"/>
            </w:pPr>
            <w:r>
              <w:rPr>
                <w:color w:val="12202B"/>
                <w:sz w:val="16"/>
              </w:rPr>
              <w:t>Evidence objects</w:t>
            </w:r>
          </w:p>
        </w:tc>
        <w:tc>
          <w:tcPr>
            <w:tcW w:type="dxa" w:w="3456"/>
            <w:tcMar>
              <w:top w:w="70" w:type="dxa"/>
              <w:start w:w="80" w:type="dxa"/>
              <w:bottom w:w="70" w:type="dxa"/>
              <w:end w:w="80" w:type="dxa"/>
            </w:tcMar>
            <w:vAlign w:val="top"/>
          </w:tcPr>
          <w:p>
            <w:pPr>
              <w:spacing w:after="0"/>
            </w:pPr>
            <w:r>
              <w:rPr>
                <w:color w:val="12202B"/>
                <w:sz w:val="16"/>
              </w:rPr>
              <w:t>Azure Blob Storage</w:t>
            </w:r>
          </w:p>
        </w:tc>
        <w:tc>
          <w:tcPr>
            <w:tcW w:type="dxa" w:w="3456"/>
            <w:tcMar>
              <w:top w:w="70" w:type="dxa"/>
              <w:start w:w="80" w:type="dxa"/>
              <w:bottom w:w="70" w:type="dxa"/>
              <w:end w:w="80" w:type="dxa"/>
            </w:tcMar>
            <w:vAlign w:val="top"/>
          </w:tcPr>
          <w:p>
            <w:pPr>
              <w:spacing w:after="0"/>
            </w:pPr>
            <w:r>
              <w:rPr>
                <w:color w:val="12202B"/>
                <w:sz w:val="16"/>
              </w:rPr>
              <w:t>Use immutable/WORM controls when retention requirements justify them.</w:t>
            </w:r>
          </w:p>
        </w:tc>
      </w:tr>
      <w:tr>
        <w:tc>
          <w:tcPr>
            <w:tcW w:type="dxa" w:w="3456"/>
            <w:tcMar>
              <w:top w:w="70" w:type="dxa"/>
              <w:start w:w="80" w:type="dxa"/>
              <w:bottom w:w="70" w:type="dxa"/>
              <w:end w:w="80" w:type="dxa"/>
            </w:tcMar>
            <w:vAlign w:val="top"/>
          </w:tcPr>
          <w:p>
            <w:pPr>
              <w:spacing w:after="0"/>
            </w:pPr>
            <w:r>
              <w:rPr>
                <w:color w:val="12202B"/>
                <w:sz w:val="16"/>
              </w:rPr>
              <w:t>Keys</w:t>
            </w:r>
          </w:p>
        </w:tc>
        <w:tc>
          <w:tcPr>
            <w:tcW w:type="dxa" w:w="3456"/>
            <w:tcMar>
              <w:top w:w="70" w:type="dxa"/>
              <w:start w:w="80" w:type="dxa"/>
              <w:bottom w:w="70" w:type="dxa"/>
              <w:end w:w="80" w:type="dxa"/>
            </w:tcMar>
            <w:vAlign w:val="top"/>
          </w:tcPr>
          <w:p>
            <w:pPr>
              <w:spacing w:after="0"/>
            </w:pPr>
            <w:r>
              <w:rPr>
                <w:color w:val="12202B"/>
                <w:sz w:val="16"/>
              </w:rPr>
              <w:t>Azure Key Vault / Managed HSM</w:t>
            </w:r>
          </w:p>
        </w:tc>
        <w:tc>
          <w:tcPr>
            <w:tcW w:type="dxa" w:w="3456"/>
            <w:tcMar>
              <w:top w:w="70" w:type="dxa"/>
              <w:start w:w="80" w:type="dxa"/>
              <w:bottom w:w="70" w:type="dxa"/>
              <w:end w:w="80" w:type="dxa"/>
            </w:tcMar>
            <w:vAlign w:val="top"/>
          </w:tcPr>
          <w:p>
            <w:pPr>
              <w:spacing w:after="0"/>
            </w:pPr>
            <w:r>
              <w:rPr>
                <w:color w:val="12202B"/>
                <w:sz w:val="16"/>
              </w:rPr>
              <w:t>Protect authority keys, rotation metadata, and signing operations.</w:t>
            </w:r>
          </w:p>
        </w:tc>
      </w:tr>
      <w:tr>
        <w:tc>
          <w:tcPr>
            <w:tcW w:type="dxa" w:w="3456"/>
            <w:tcMar>
              <w:top w:w="70" w:type="dxa"/>
              <w:start w:w="80" w:type="dxa"/>
              <w:bottom w:w="70" w:type="dxa"/>
              <w:end w:w="80" w:type="dxa"/>
            </w:tcMar>
            <w:vAlign w:val="top"/>
          </w:tcPr>
          <w:p>
            <w:pPr>
              <w:spacing w:after="0"/>
            </w:pPr>
            <w:r>
              <w:rPr>
                <w:color w:val="12202B"/>
                <w:sz w:val="16"/>
              </w:rPr>
              <w:t>Events</w:t>
            </w:r>
          </w:p>
        </w:tc>
        <w:tc>
          <w:tcPr>
            <w:tcW w:type="dxa" w:w="3456"/>
            <w:tcMar>
              <w:top w:w="70" w:type="dxa"/>
              <w:start w:w="80" w:type="dxa"/>
              <w:bottom w:w="70" w:type="dxa"/>
              <w:end w:w="80" w:type="dxa"/>
            </w:tcMar>
            <w:vAlign w:val="top"/>
          </w:tcPr>
          <w:p>
            <w:pPr>
              <w:spacing w:after="0"/>
            </w:pPr>
            <w:r>
              <w:rPr>
                <w:color w:val="12202B"/>
                <w:sz w:val="16"/>
              </w:rPr>
              <w:t>Service Bus/Event Grid or equivalent</w:t>
            </w:r>
          </w:p>
        </w:tc>
        <w:tc>
          <w:tcPr>
            <w:tcW w:type="dxa" w:w="3456"/>
            <w:tcMar>
              <w:top w:w="70" w:type="dxa"/>
              <w:start w:w="80" w:type="dxa"/>
              <w:bottom w:w="70" w:type="dxa"/>
              <w:end w:w="80" w:type="dxa"/>
            </w:tcMar>
            <w:vAlign w:val="top"/>
          </w:tcPr>
          <w:p>
            <w:pPr>
              <w:spacing w:after="0"/>
            </w:pPr>
            <w:r>
              <w:rPr>
                <w:color w:val="12202B"/>
                <w:sz w:val="16"/>
              </w:rPr>
              <w:t>Decouple authoritative decision from downstream workflows.</w:t>
            </w:r>
          </w:p>
        </w:tc>
      </w:tr>
      <w:tr>
        <w:tc>
          <w:tcPr>
            <w:tcW w:type="dxa" w:w="3456"/>
            <w:tcMar>
              <w:top w:w="70" w:type="dxa"/>
              <w:start w:w="80" w:type="dxa"/>
              <w:bottom w:w="70" w:type="dxa"/>
              <w:end w:w="80" w:type="dxa"/>
            </w:tcMar>
            <w:vAlign w:val="top"/>
          </w:tcPr>
          <w:p>
            <w:pPr>
              <w:spacing w:after="0"/>
            </w:pPr>
            <w:r>
              <w:rPr>
                <w:color w:val="12202B"/>
                <w:sz w:val="16"/>
              </w:rPr>
              <w:t>Observability</w:t>
            </w:r>
          </w:p>
        </w:tc>
        <w:tc>
          <w:tcPr>
            <w:tcW w:type="dxa" w:w="3456"/>
            <w:tcMar>
              <w:top w:w="70" w:type="dxa"/>
              <w:start w:w="80" w:type="dxa"/>
              <w:bottom w:w="70" w:type="dxa"/>
              <w:end w:w="80" w:type="dxa"/>
            </w:tcMar>
            <w:vAlign w:val="top"/>
          </w:tcPr>
          <w:p>
            <w:pPr>
              <w:spacing w:after="0"/>
            </w:pPr>
            <w:r>
              <w:rPr>
                <w:color w:val="12202B"/>
                <w:sz w:val="16"/>
              </w:rPr>
              <w:t>Azure Monitor / Application Insights</w:t>
            </w:r>
          </w:p>
        </w:tc>
        <w:tc>
          <w:tcPr>
            <w:tcW w:type="dxa" w:w="3456"/>
            <w:tcMar>
              <w:top w:w="70" w:type="dxa"/>
              <w:start w:w="80" w:type="dxa"/>
              <w:bottom w:w="70" w:type="dxa"/>
              <w:end w:w="80" w:type="dxa"/>
            </w:tcMar>
            <w:vAlign w:val="top"/>
          </w:tcPr>
          <w:p>
            <w:pPr>
              <w:spacing w:after="0"/>
            </w:pPr>
            <w:r>
              <w:rPr>
                <w:color w:val="12202B"/>
                <w:sz w:val="16"/>
              </w:rPr>
              <w:t>Operational telemetry; never the authority of record.</w:t>
            </w:r>
          </w:p>
        </w:tc>
      </w:tr>
      <w:tr>
        <w:tc>
          <w:tcPr>
            <w:tcW w:type="dxa" w:w="3456"/>
            <w:tcMar>
              <w:top w:w="70" w:type="dxa"/>
              <w:start w:w="80" w:type="dxa"/>
              <w:bottom w:w="70" w:type="dxa"/>
              <w:end w:w="80" w:type="dxa"/>
            </w:tcMar>
            <w:vAlign w:val="top"/>
          </w:tcPr>
          <w:p>
            <w:pPr>
              <w:spacing w:after="0"/>
            </w:pPr>
            <w:r>
              <w:rPr>
                <w:color w:val="12202B"/>
                <w:sz w:val="16"/>
              </w:rPr>
              <w:t>Regional/private ingress</w:t>
            </w:r>
          </w:p>
        </w:tc>
        <w:tc>
          <w:tcPr>
            <w:tcW w:type="dxa" w:w="3456"/>
            <w:tcMar>
              <w:top w:w="70" w:type="dxa"/>
              <w:start w:w="80" w:type="dxa"/>
              <w:bottom w:w="70" w:type="dxa"/>
              <w:end w:w="80" w:type="dxa"/>
            </w:tcMar>
            <w:vAlign w:val="top"/>
          </w:tcPr>
          <w:p>
            <w:pPr>
              <w:spacing w:after="0"/>
            </w:pPr>
            <w:r>
              <w:rPr>
                <w:color w:val="12202B"/>
                <w:sz w:val="16"/>
              </w:rPr>
              <w:t>Application Gateway, optional</w:t>
            </w:r>
          </w:p>
        </w:tc>
        <w:tc>
          <w:tcPr>
            <w:tcW w:type="dxa" w:w="3456"/>
            <w:tcMar>
              <w:top w:w="70" w:type="dxa"/>
              <w:start w:w="80" w:type="dxa"/>
              <w:bottom w:w="70" w:type="dxa"/>
              <w:end w:w="80" w:type="dxa"/>
            </w:tcMar>
            <w:vAlign w:val="top"/>
          </w:tcPr>
          <w:p>
            <w:pPr>
              <w:spacing w:after="0"/>
            </w:pPr>
            <w:r>
              <w:rPr>
                <w:color w:val="12202B"/>
                <w:sz w:val="16"/>
              </w:rPr>
              <w:t>Use when regional/private Layer-7 integration adds value; do not insert it by default merely because Front Door is present.</w:t>
            </w:r>
          </w:p>
        </w:tc>
      </w:tr>
    </w:tbl>
    <w:p>
      <w:pPr>
        <w:pStyle w:val="Heading1"/>
      </w:pPr>
      <w:r>
        <w:t>5. Core Data Contracts</w:t>
      </w:r>
    </w:p>
    <w:p>
      <w:pPr>
        <w:pStyle w:val="Heading2"/>
      </w:pPr>
      <w:r>
        <w:t>5.1 Observation / Fact Envelope</w:t>
      </w:r>
    </w:p>
    <w:p>
      <w:r>
        <w:t>The normalized envelope is the contract between perception and deterministic policy. Exact serialization MUST be canonicalized before hashing or replay verification.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23B5A"/>
            <w:vAlign w:val="center"/>
            <w:tcMar>
              <w:top w:w="70" w:type="dxa"/>
              <w:start w:w="80" w:type="dxa"/>
              <w:bottom w:w="70" w:type="dxa"/>
              <w:end w:w="80" w:type="dxa"/>
            </w:tcMar>
          </w:tcPr>
          <w:p>
            <w:r>
              <w:rPr>
                <w:b/>
                <w:color w:val="FFFFFF"/>
                <w:sz w:val="16"/>
              </w:rPr>
              <w:t>Field</w:t>
            </w:r>
          </w:p>
        </w:tc>
        <w:tc>
          <w:tcPr>
            <w:tcW w:type="dxa" w:w="3528"/>
            <w:shd w:fill="123B5A"/>
            <w:vAlign w:val="center"/>
            <w:tcMar>
              <w:top w:w="70" w:type="dxa"/>
              <w:start w:w="80" w:type="dxa"/>
              <w:bottom w:w="70" w:type="dxa"/>
              <w:end w:w="80" w:type="dxa"/>
            </w:tcMar>
          </w:tcPr>
          <w:p>
            <w:r>
              <w:rPr>
                <w:b/>
                <w:color w:val="FFFFFF"/>
                <w:sz w:val="16"/>
              </w:rPr>
              <w:t>Type / Example</w:t>
            </w:r>
          </w:p>
        </w:tc>
        <w:tc>
          <w:tcPr>
            <w:tcW w:type="dxa" w:w="4680"/>
            <w:shd w:fill="123B5A"/>
            <w:vAlign w:val="center"/>
            <w:tcMar>
              <w:top w:w="70" w:type="dxa"/>
              <w:start w:w="80" w:type="dxa"/>
              <w:bottom w:w="70" w:type="dxa"/>
              <w:end w:w="80" w:type="dxa"/>
            </w:tcMar>
          </w:tcPr>
          <w:p>
            <w:r>
              <w:rPr>
                <w:b/>
                <w:color w:val="FFFFFF"/>
                <w:sz w:val="16"/>
              </w:rPr>
              <w:t>Requirement</w:t>
            </w:r>
          </w:p>
        </w:tc>
      </w:tr>
      <w:tr>
        <w:tc>
          <w:tcPr>
            <w:tcW w:type="dxa" w:w="3456"/>
            <w:tcMar>
              <w:top w:w="70" w:type="dxa"/>
              <w:start w:w="80" w:type="dxa"/>
              <w:bottom w:w="70" w:type="dxa"/>
              <w:end w:w="80" w:type="dxa"/>
            </w:tcMar>
            <w:vAlign w:val="top"/>
          </w:tcPr>
          <w:p>
            <w:pPr>
              <w:spacing w:after="0"/>
            </w:pPr>
            <w:r>
              <w:rPr>
                <w:color w:val="12202B"/>
                <w:sz w:val="16"/>
              </w:rPr>
              <w:t>sequence</w:t>
            </w:r>
          </w:p>
        </w:tc>
        <w:tc>
          <w:tcPr>
            <w:tcW w:type="dxa" w:w="3456"/>
            <w:tcMar>
              <w:top w:w="70" w:type="dxa"/>
              <w:start w:w="80" w:type="dxa"/>
              <w:bottom w:w="70" w:type="dxa"/>
              <w:end w:w="80" w:type="dxa"/>
            </w:tcMar>
            <w:vAlign w:val="top"/>
          </w:tcPr>
          <w:p>
            <w:pPr>
              <w:spacing w:after="0"/>
            </w:pPr>
            <w:r>
              <w:rPr>
                <w:color w:val="12202B"/>
                <w:sz w:val="16"/>
              </w:rPr>
              <w:t>uint64 / monotonic</w:t>
            </w:r>
          </w:p>
        </w:tc>
        <w:tc>
          <w:tcPr>
            <w:tcW w:type="dxa" w:w="3456"/>
            <w:tcMar>
              <w:top w:w="70" w:type="dxa"/>
              <w:start w:w="80" w:type="dxa"/>
              <w:bottom w:w="70" w:type="dxa"/>
              <w:end w:w="80" w:type="dxa"/>
            </w:tcMar>
            <w:vAlign w:val="top"/>
          </w:tcPr>
          <w:p>
            <w:pPr>
              <w:spacing w:after="0"/>
            </w:pPr>
            <w:r>
              <w:rPr>
                <w:color w:val="12202B"/>
                <w:sz w:val="16"/>
              </w:rPr>
              <w:t>Required within scoped stream or ledger.</w:t>
            </w:r>
          </w:p>
        </w:tc>
      </w:tr>
      <w:tr>
        <w:tc>
          <w:tcPr>
            <w:tcW w:type="dxa" w:w="3456"/>
            <w:tcMar>
              <w:top w:w="70" w:type="dxa"/>
              <w:start w:w="80" w:type="dxa"/>
              <w:bottom w:w="70" w:type="dxa"/>
              <w:end w:w="80" w:type="dxa"/>
            </w:tcMar>
            <w:vAlign w:val="top"/>
          </w:tcPr>
          <w:p>
            <w:pPr>
              <w:spacing w:after="0"/>
            </w:pPr>
            <w:r>
              <w:rPr>
                <w:color w:val="12202B"/>
                <w:sz w:val="16"/>
              </w:rPr>
              <w:t>candidateID</w:t>
            </w:r>
          </w:p>
        </w:tc>
        <w:tc>
          <w:tcPr>
            <w:tcW w:type="dxa" w:w="3456"/>
            <w:tcMar>
              <w:top w:w="70" w:type="dxa"/>
              <w:start w:w="80" w:type="dxa"/>
              <w:bottom w:w="70" w:type="dxa"/>
              <w:end w:w="80" w:type="dxa"/>
            </w:tcMar>
            <w:vAlign w:val="top"/>
          </w:tcPr>
          <w:p>
            <w:pPr>
              <w:spacing w:after="0"/>
            </w:pPr>
            <w:r>
              <w:rPr>
                <w:color w:val="12202B"/>
                <w:sz w:val="16"/>
              </w:rPr>
              <w:t>string/UUID</w:t>
            </w:r>
          </w:p>
        </w:tc>
        <w:tc>
          <w:tcPr>
            <w:tcW w:type="dxa" w:w="3456"/>
            <w:tcMar>
              <w:top w:w="70" w:type="dxa"/>
              <w:start w:w="80" w:type="dxa"/>
              <w:bottom w:w="70" w:type="dxa"/>
              <w:end w:w="80" w:type="dxa"/>
            </w:tcMar>
            <w:vAlign w:val="top"/>
          </w:tcPr>
          <w:p>
            <w:pPr>
              <w:spacing w:after="0"/>
            </w:pPr>
            <w:r>
              <w:rPr>
                <w:color w:val="12202B"/>
                <w:sz w:val="16"/>
              </w:rPr>
              <w:t>Required candidate identity.</w:t>
            </w:r>
          </w:p>
        </w:tc>
      </w:tr>
      <w:tr>
        <w:tc>
          <w:tcPr>
            <w:tcW w:type="dxa" w:w="3456"/>
            <w:tcMar>
              <w:top w:w="70" w:type="dxa"/>
              <w:start w:w="80" w:type="dxa"/>
              <w:bottom w:w="70" w:type="dxa"/>
              <w:end w:w="80" w:type="dxa"/>
            </w:tcMar>
            <w:vAlign w:val="top"/>
          </w:tcPr>
          <w:p>
            <w:pPr>
              <w:spacing w:after="0"/>
            </w:pPr>
            <w:r>
              <w:rPr>
                <w:color w:val="12202B"/>
                <w:sz w:val="16"/>
              </w:rPr>
              <w:t>sourceID</w:t>
            </w:r>
          </w:p>
        </w:tc>
        <w:tc>
          <w:tcPr>
            <w:tcW w:type="dxa" w:w="3456"/>
            <w:tcMar>
              <w:top w:w="70" w:type="dxa"/>
              <w:start w:w="80" w:type="dxa"/>
              <w:bottom w:w="70" w:type="dxa"/>
              <w:end w:w="80" w:type="dxa"/>
            </w:tcMar>
            <w:vAlign w:val="top"/>
          </w:tcPr>
          <w:p>
            <w:pPr>
              <w:spacing w:after="0"/>
            </w:pPr>
            <w:r>
              <w:rPr>
                <w:color w:val="12202B"/>
                <w:sz w:val="16"/>
              </w:rPr>
              <w:t>device/sensor/source identifier</w:t>
            </w:r>
          </w:p>
        </w:tc>
        <w:tc>
          <w:tcPr>
            <w:tcW w:type="dxa" w:w="3456"/>
            <w:tcMar>
              <w:top w:w="70" w:type="dxa"/>
              <w:start w:w="80" w:type="dxa"/>
              <w:bottom w:w="70" w:type="dxa"/>
              <w:end w:w="80" w:type="dxa"/>
            </w:tcMar>
            <w:vAlign w:val="top"/>
          </w:tcPr>
          <w:p>
            <w:pPr>
              <w:spacing w:after="0"/>
            </w:pPr>
            <w:r>
              <w:rPr>
                <w:color w:val="12202B"/>
                <w:sz w:val="16"/>
              </w:rPr>
              <w:t>Required.</w:t>
            </w:r>
          </w:p>
        </w:tc>
      </w:tr>
      <w:tr>
        <w:tc>
          <w:tcPr>
            <w:tcW w:type="dxa" w:w="3456"/>
            <w:tcMar>
              <w:top w:w="70" w:type="dxa"/>
              <w:start w:w="80" w:type="dxa"/>
              <w:bottom w:w="70" w:type="dxa"/>
              <w:end w:w="80" w:type="dxa"/>
            </w:tcMar>
            <w:vAlign w:val="top"/>
          </w:tcPr>
          <w:p>
            <w:pPr>
              <w:spacing w:after="0"/>
            </w:pPr>
            <w:r>
              <w:rPr>
                <w:color w:val="12202B"/>
                <w:sz w:val="16"/>
              </w:rPr>
              <w:t>timestampMs</w:t>
            </w:r>
          </w:p>
        </w:tc>
        <w:tc>
          <w:tcPr>
            <w:tcW w:type="dxa" w:w="3456"/>
            <w:tcMar>
              <w:top w:w="70" w:type="dxa"/>
              <w:start w:w="80" w:type="dxa"/>
              <w:bottom w:w="70" w:type="dxa"/>
              <w:end w:w="80" w:type="dxa"/>
            </w:tcMar>
            <w:vAlign w:val="top"/>
          </w:tcPr>
          <w:p>
            <w:pPr>
              <w:spacing w:after="0"/>
            </w:pPr>
            <w:r>
              <w:rPr>
                <w:color w:val="12202B"/>
                <w:sz w:val="16"/>
              </w:rPr>
              <w:t>integer epoch milliseconds</w:t>
            </w:r>
          </w:p>
        </w:tc>
        <w:tc>
          <w:tcPr>
            <w:tcW w:type="dxa" w:w="3456"/>
            <w:tcMar>
              <w:top w:w="70" w:type="dxa"/>
              <w:start w:w="80" w:type="dxa"/>
              <w:bottom w:w="70" w:type="dxa"/>
              <w:end w:w="80" w:type="dxa"/>
            </w:tcMar>
            <w:vAlign w:val="top"/>
          </w:tcPr>
          <w:p>
            <w:pPr>
              <w:spacing w:after="0"/>
            </w:pPr>
            <w:r>
              <w:rPr>
                <w:color w:val="12202B"/>
                <w:sz w:val="16"/>
              </w:rPr>
              <w:t>Required; policy may reject stale observations.</w:t>
            </w:r>
          </w:p>
        </w:tc>
      </w:tr>
      <w:tr>
        <w:tc>
          <w:tcPr>
            <w:tcW w:type="dxa" w:w="3456"/>
            <w:tcMar>
              <w:top w:w="70" w:type="dxa"/>
              <w:start w:w="80" w:type="dxa"/>
              <w:bottom w:w="70" w:type="dxa"/>
              <w:end w:w="80" w:type="dxa"/>
            </w:tcMar>
            <w:vAlign w:val="top"/>
          </w:tcPr>
          <w:p>
            <w:pPr>
              <w:spacing w:after="0"/>
            </w:pPr>
            <w:r>
              <w:rPr>
                <w:color w:val="12202B"/>
                <w:sz w:val="16"/>
              </w:rPr>
              <w:t>entity</w:t>
            </w:r>
          </w:p>
        </w:tc>
        <w:tc>
          <w:tcPr>
            <w:tcW w:type="dxa" w:w="3456"/>
            <w:tcMar>
              <w:top w:w="70" w:type="dxa"/>
              <w:start w:w="80" w:type="dxa"/>
              <w:bottom w:w="70" w:type="dxa"/>
              <w:end w:w="80" w:type="dxa"/>
            </w:tcMar>
            <w:vAlign w:val="top"/>
          </w:tcPr>
          <w:p>
            <w:pPr>
              <w:spacing w:after="0"/>
            </w:pPr>
            <w:r>
              <w:rPr>
                <w:color w:val="12202B"/>
                <w:sz w:val="16"/>
              </w:rPr>
              <w:t>domain object / class</w:t>
            </w:r>
          </w:p>
        </w:tc>
        <w:tc>
          <w:tcPr>
            <w:tcW w:type="dxa" w:w="3456"/>
            <w:tcMar>
              <w:top w:w="70" w:type="dxa"/>
              <w:start w:w="80" w:type="dxa"/>
              <w:bottom w:w="70" w:type="dxa"/>
              <w:end w:w="80" w:type="dxa"/>
            </w:tcMar>
            <w:vAlign w:val="top"/>
          </w:tcPr>
          <w:p>
            <w:pPr>
              <w:spacing w:after="0"/>
            </w:pPr>
            <w:r>
              <w:rPr>
                <w:color w:val="12202B"/>
                <w:sz w:val="16"/>
              </w:rPr>
              <w:t>Required.</w:t>
            </w:r>
          </w:p>
        </w:tc>
      </w:tr>
      <w:tr>
        <w:tc>
          <w:tcPr>
            <w:tcW w:type="dxa" w:w="3456"/>
            <w:tcMar>
              <w:top w:w="70" w:type="dxa"/>
              <w:start w:w="80" w:type="dxa"/>
              <w:bottom w:w="70" w:type="dxa"/>
              <w:end w:w="80" w:type="dxa"/>
            </w:tcMar>
            <w:vAlign w:val="top"/>
          </w:tcPr>
          <w:p>
            <w:pPr>
              <w:spacing w:after="0"/>
            </w:pPr>
            <w:r>
              <w:rPr>
                <w:color w:val="12202B"/>
                <w:sz w:val="16"/>
              </w:rPr>
              <w:t>confidenceScore</w:t>
            </w:r>
          </w:p>
        </w:tc>
        <w:tc>
          <w:tcPr>
            <w:tcW w:type="dxa" w:w="3456"/>
            <w:tcMar>
              <w:top w:w="70" w:type="dxa"/>
              <w:start w:w="80" w:type="dxa"/>
              <w:bottom w:w="70" w:type="dxa"/>
              <w:end w:w="80" w:type="dxa"/>
            </w:tcMar>
            <w:vAlign w:val="top"/>
          </w:tcPr>
          <w:p>
            <w:pPr>
              <w:spacing w:after="0"/>
            </w:pPr>
            <w:r>
              <w:rPr>
                <w:color w:val="12202B"/>
                <w:sz w:val="16"/>
              </w:rPr>
              <w:t>0.0–1.0</w:t>
            </w:r>
          </w:p>
        </w:tc>
        <w:tc>
          <w:tcPr>
            <w:tcW w:type="dxa" w:w="3456"/>
            <w:tcMar>
              <w:top w:w="70" w:type="dxa"/>
              <w:start w:w="80" w:type="dxa"/>
              <w:bottom w:w="70" w:type="dxa"/>
              <w:end w:w="80" w:type="dxa"/>
            </w:tcMar>
            <w:vAlign w:val="top"/>
          </w:tcPr>
          <w:p>
            <w:pPr>
              <w:spacing w:after="0"/>
            </w:pPr>
            <w:r>
              <w:rPr>
                <w:color w:val="12202B"/>
                <w:sz w:val="16"/>
              </w:rPr>
              <w:t>Optional where no probabilistic model is used; otherwise required and non-authoritative by itself.</w:t>
            </w:r>
          </w:p>
        </w:tc>
      </w:tr>
      <w:tr>
        <w:tc>
          <w:tcPr>
            <w:tcW w:type="dxa" w:w="3456"/>
            <w:tcMar>
              <w:top w:w="70" w:type="dxa"/>
              <w:start w:w="80" w:type="dxa"/>
              <w:bottom w:w="70" w:type="dxa"/>
              <w:end w:w="80" w:type="dxa"/>
            </w:tcMar>
            <w:vAlign w:val="top"/>
          </w:tcPr>
          <w:p>
            <w:pPr>
              <w:spacing w:after="0"/>
            </w:pPr>
            <w:r>
              <w:rPr>
                <w:color w:val="12202B"/>
                <w:sz w:val="16"/>
              </w:rPr>
              <w:t>bbox / geometry</w:t>
            </w:r>
          </w:p>
        </w:tc>
        <w:tc>
          <w:tcPr>
            <w:tcW w:type="dxa" w:w="3456"/>
            <w:tcMar>
              <w:top w:w="70" w:type="dxa"/>
              <w:start w:w="80" w:type="dxa"/>
              <w:bottom w:w="70" w:type="dxa"/>
              <w:end w:w="80" w:type="dxa"/>
            </w:tcMar>
            <w:vAlign w:val="top"/>
          </w:tcPr>
          <w:p>
            <w:pPr>
              <w:spacing w:after="0"/>
            </w:pPr>
            <w:r>
              <w:rPr>
                <w:color w:val="12202B"/>
                <w:sz w:val="16"/>
              </w:rPr>
              <w:t>coordinates / spatial model</w:t>
            </w:r>
          </w:p>
        </w:tc>
        <w:tc>
          <w:tcPr>
            <w:tcW w:type="dxa" w:w="3456"/>
            <w:tcMar>
              <w:top w:w="70" w:type="dxa"/>
              <w:start w:w="80" w:type="dxa"/>
              <w:bottom w:w="70" w:type="dxa"/>
              <w:end w:w="80" w:type="dxa"/>
            </w:tcMar>
            <w:vAlign w:val="top"/>
          </w:tcPr>
          <w:p>
            <w:pPr>
              <w:spacing w:after="0"/>
            </w:pPr>
            <w:r>
              <w:rPr>
                <w:color w:val="12202B"/>
                <w:sz w:val="16"/>
              </w:rPr>
              <w:t>Optional by vertical; normalized coordinate frame MUST be identified.</w:t>
            </w:r>
          </w:p>
        </w:tc>
      </w:tr>
      <w:tr>
        <w:tc>
          <w:tcPr>
            <w:tcW w:type="dxa" w:w="3456"/>
            <w:tcMar>
              <w:top w:w="70" w:type="dxa"/>
              <w:start w:w="80" w:type="dxa"/>
              <w:bottom w:w="70" w:type="dxa"/>
              <w:end w:w="80" w:type="dxa"/>
            </w:tcMar>
            <w:vAlign w:val="top"/>
          </w:tcPr>
          <w:p>
            <w:pPr>
              <w:spacing w:after="0"/>
            </w:pPr>
            <w:r>
              <w:rPr>
                <w:color w:val="12202B"/>
                <w:sz w:val="16"/>
              </w:rPr>
              <w:t>rawAudioRMS / sensor features</w:t>
            </w:r>
          </w:p>
        </w:tc>
        <w:tc>
          <w:tcPr>
            <w:tcW w:type="dxa" w:w="3456"/>
            <w:tcMar>
              <w:top w:w="70" w:type="dxa"/>
              <w:start w:w="80" w:type="dxa"/>
              <w:bottom w:w="70" w:type="dxa"/>
              <w:end w:w="80" w:type="dxa"/>
            </w:tcMar>
            <w:vAlign w:val="top"/>
          </w:tcPr>
          <w:p>
            <w:pPr>
              <w:spacing w:after="0"/>
            </w:pPr>
            <w:r>
              <w:rPr>
                <w:color w:val="12202B"/>
                <w:sz w:val="16"/>
              </w:rPr>
              <w:t>numeric feature(s)</w:t>
            </w:r>
          </w:p>
        </w:tc>
        <w:tc>
          <w:tcPr>
            <w:tcW w:type="dxa" w:w="3456"/>
            <w:tcMar>
              <w:top w:w="70" w:type="dxa"/>
              <w:start w:w="80" w:type="dxa"/>
              <w:bottom w:w="70" w:type="dxa"/>
              <w:end w:w="80" w:type="dxa"/>
            </w:tcMar>
            <w:vAlign w:val="top"/>
          </w:tcPr>
          <w:p>
            <w:pPr>
              <w:spacing w:after="0"/>
            </w:pPr>
            <w:r>
              <w:rPr>
                <w:color w:val="12202B"/>
                <w:sz w:val="16"/>
              </w:rPr>
              <w:t>Optional by modality.</w:t>
            </w:r>
          </w:p>
        </w:tc>
      </w:tr>
      <w:tr>
        <w:tc>
          <w:tcPr>
            <w:tcW w:type="dxa" w:w="3456"/>
            <w:tcMar>
              <w:top w:w="70" w:type="dxa"/>
              <w:start w:w="80" w:type="dxa"/>
              <w:bottom w:w="70" w:type="dxa"/>
              <w:end w:w="80" w:type="dxa"/>
            </w:tcMar>
            <w:vAlign w:val="top"/>
          </w:tcPr>
          <w:p>
            <w:pPr>
              <w:spacing w:after="0"/>
            </w:pPr>
            <w:r>
              <w:rPr>
                <w:color w:val="12202B"/>
                <w:sz w:val="16"/>
              </w:rPr>
              <w:t>payloadHash</w:t>
            </w:r>
          </w:p>
        </w:tc>
        <w:tc>
          <w:tcPr>
            <w:tcW w:type="dxa" w:w="3456"/>
            <w:tcMar>
              <w:top w:w="70" w:type="dxa"/>
              <w:start w:w="80" w:type="dxa"/>
              <w:bottom w:w="70" w:type="dxa"/>
              <w:end w:w="80" w:type="dxa"/>
            </w:tcMar>
            <w:vAlign w:val="top"/>
          </w:tcPr>
          <w:p>
            <w:pPr>
              <w:spacing w:after="0"/>
            </w:pPr>
            <w:r>
              <w:rPr>
                <w:color w:val="12202B"/>
                <w:sz w:val="16"/>
              </w:rPr>
              <w:t>SHA-256 digest</w:t>
            </w:r>
          </w:p>
        </w:tc>
        <w:tc>
          <w:tcPr>
            <w:tcW w:type="dxa" w:w="3456"/>
            <w:tcMar>
              <w:top w:w="70" w:type="dxa"/>
              <w:start w:w="80" w:type="dxa"/>
              <w:bottom w:w="70" w:type="dxa"/>
              <w:end w:w="80" w:type="dxa"/>
            </w:tcMar>
            <w:vAlign w:val="top"/>
          </w:tcPr>
          <w:p>
            <w:pPr>
              <w:spacing w:after="0"/>
            </w:pPr>
            <w:r>
              <w:rPr>
                <w:color w:val="12202B"/>
                <w:sz w:val="16"/>
              </w:rPr>
              <w:t>Required when payload/evidence binding applies.</w:t>
            </w:r>
          </w:p>
        </w:tc>
      </w:tr>
      <w:tr>
        <w:tc>
          <w:tcPr>
            <w:tcW w:type="dxa" w:w="3456"/>
            <w:tcMar>
              <w:top w:w="70" w:type="dxa"/>
              <w:start w:w="80" w:type="dxa"/>
              <w:bottom w:w="70" w:type="dxa"/>
              <w:end w:w="80" w:type="dxa"/>
            </w:tcMar>
            <w:vAlign w:val="top"/>
          </w:tcPr>
          <w:p>
            <w:pPr>
              <w:spacing w:after="0"/>
            </w:pPr>
            <w:r>
              <w:rPr>
                <w:color w:val="12202B"/>
                <w:sz w:val="16"/>
              </w:rPr>
              <w:t>policyID / policyVersion</w:t>
            </w:r>
          </w:p>
        </w:tc>
        <w:tc>
          <w:tcPr>
            <w:tcW w:type="dxa" w:w="3456"/>
            <w:tcMar>
              <w:top w:w="70" w:type="dxa"/>
              <w:start w:w="80" w:type="dxa"/>
              <w:bottom w:w="70" w:type="dxa"/>
              <w:end w:w="80" w:type="dxa"/>
            </w:tcMar>
            <w:vAlign w:val="top"/>
          </w:tcPr>
          <w:p>
            <w:pPr>
              <w:spacing w:after="0"/>
            </w:pPr>
            <w:r>
              <w:rPr>
                <w:color w:val="12202B"/>
                <w:sz w:val="16"/>
              </w:rPr>
              <w:t>identifier + immutable version</w:t>
            </w:r>
          </w:p>
        </w:tc>
        <w:tc>
          <w:tcPr>
            <w:tcW w:type="dxa" w:w="3456"/>
            <w:tcMar>
              <w:top w:w="70" w:type="dxa"/>
              <w:start w:w="80" w:type="dxa"/>
              <w:bottom w:w="70" w:type="dxa"/>
              <w:end w:w="80" w:type="dxa"/>
            </w:tcMar>
            <w:vAlign w:val="top"/>
          </w:tcPr>
          <w:p>
            <w:pPr>
              <w:spacing w:after="0"/>
            </w:pPr>
            <w:r>
              <w:rPr>
                <w:color w:val="12202B"/>
                <w:sz w:val="16"/>
              </w:rPr>
              <w:t>Required at evaluation/commit.</w:t>
            </w:r>
          </w:p>
        </w:tc>
      </w:tr>
      <w:tr>
        <w:tc>
          <w:tcPr>
            <w:tcW w:type="dxa" w:w="3456"/>
            <w:tcMar>
              <w:top w:w="70" w:type="dxa"/>
              <w:start w:w="80" w:type="dxa"/>
              <w:bottom w:w="70" w:type="dxa"/>
              <w:end w:w="80" w:type="dxa"/>
            </w:tcMar>
            <w:vAlign w:val="top"/>
          </w:tcPr>
          <w:p>
            <w:pPr>
              <w:spacing w:after="0"/>
            </w:pPr>
            <w:r>
              <w:rPr>
                <w:color w:val="12202B"/>
                <w:sz w:val="16"/>
              </w:rPr>
              <w:t>deviceKeyID</w:t>
            </w:r>
          </w:p>
        </w:tc>
        <w:tc>
          <w:tcPr>
            <w:tcW w:type="dxa" w:w="3456"/>
            <w:tcMar>
              <w:top w:w="70" w:type="dxa"/>
              <w:start w:w="80" w:type="dxa"/>
              <w:bottom w:w="70" w:type="dxa"/>
              <w:end w:w="80" w:type="dxa"/>
            </w:tcMar>
            <w:vAlign w:val="top"/>
          </w:tcPr>
          <w:p>
            <w:pPr>
              <w:spacing w:after="0"/>
            </w:pPr>
            <w:r>
              <w:rPr>
                <w:color w:val="12202B"/>
                <w:sz w:val="16"/>
              </w:rPr>
              <w:t>key fingerprint / ID</w:t>
            </w:r>
          </w:p>
        </w:tc>
        <w:tc>
          <w:tcPr>
            <w:tcW w:type="dxa" w:w="3456"/>
            <w:tcMar>
              <w:top w:w="70" w:type="dxa"/>
              <w:start w:w="80" w:type="dxa"/>
              <w:bottom w:w="70" w:type="dxa"/>
              <w:end w:w="80" w:type="dxa"/>
            </w:tcMar>
            <w:vAlign w:val="top"/>
          </w:tcPr>
          <w:p>
            <w:pPr>
              <w:spacing w:after="0"/>
            </w:pPr>
            <w:r>
              <w:rPr>
                <w:color w:val="12202B"/>
                <w:sz w:val="16"/>
              </w:rPr>
              <w:t>Required for signed device facts.</w:t>
            </w:r>
          </w:p>
        </w:tc>
      </w:tr>
      <w:tr>
        <w:tc>
          <w:tcPr>
            <w:tcW w:type="dxa" w:w="3456"/>
            <w:tcMar>
              <w:top w:w="70" w:type="dxa"/>
              <w:start w:w="80" w:type="dxa"/>
              <w:bottom w:w="70" w:type="dxa"/>
              <w:end w:w="80" w:type="dxa"/>
            </w:tcMar>
            <w:vAlign w:val="top"/>
          </w:tcPr>
          <w:p>
            <w:pPr>
              <w:spacing w:after="0"/>
            </w:pPr>
            <w:r>
              <w:rPr>
                <w:color w:val="12202B"/>
                <w:sz w:val="16"/>
              </w:rPr>
              <w:t>parentFactHash</w:t>
            </w:r>
          </w:p>
        </w:tc>
        <w:tc>
          <w:tcPr>
            <w:tcW w:type="dxa" w:w="3456"/>
            <w:tcMar>
              <w:top w:w="70" w:type="dxa"/>
              <w:start w:w="80" w:type="dxa"/>
              <w:bottom w:w="70" w:type="dxa"/>
              <w:end w:w="80" w:type="dxa"/>
            </w:tcMar>
            <w:vAlign w:val="top"/>
          </w:tcPr>
          <w:p>
            <w:pPr>
              <w:spacing w:after="0"/>
            </w:pPr>
            <w:r>
              <w:rPr>
                <w:color w:val="12202B"/>
                <w:sz w:val="16"/>
              </w:rPr>
              <w:t>32-byte hash</w:t>
            </w:r>
          </w:p>
        </w:tc>
        <w:tc>
          <w:tcPr>
            <w:tcW w:type="dxa" w:w="3456"/>
            <w:tcMar>
              <w:top w:w="70" w:type="dxa"/>
              <w:start w:w="80" w:type="dxa"/>
              <w:bottom w:w="70" w:type="dxa"/>
              <w:end w:w="80" w:type="dxa"/>
            </w:tcMar>
            <w:vAlign w:val="top"/>
          </w:tcPr>
          <w:p>
            <w:pPr>
              <w:spacing w:after="0"/>
            </w:pPr>
            <w:r>
              <w:rPr>
                <w:color w:val="12202B"/>
                <w:sz w:val="16"/>
              </w:rPr>
              <w:t>Required for chained profiles; genesis value governed by profile.</w:t>
            </w:r>
          </w:p>
        </w:tc>
      </w:tr>
      <w:tr>
        <w:tc>
          <w:tcPr>
            <w:tcW w:type="dxa" w:w="3456"/>
            <w:tcMar>
              <w:top w:w="70" w:type="dxa"/>
              <w:start w:w="80" w:type="dxa"/>
              <w:bottom w:w="70" w:type="dxa"/>
              <w:end w:w="80" w:type="dxa"/>
            </w:tcMar>
            <w:vAlign w:val="top"/>
          </w:tcPr>
          <w:p>
            <w:pPr>
              <w:spacing w:after="0"/>
            </w:pPr>
            <w:r>
              <w:rPr>
                <w:color w:val="12202B"/>
                <w:sz w:val="16"/>
              </w:rPr>
              <w:t>signature</w:t>
            </w:r>
          </w:p>
        </w:tc>
        <w:tc>
          <w:tcPr>
            <w:tcW w:type="dxa" w:w="3456"/>
            <w:tcMar>
              <w:top w:w="70" w:type="dxa"/>
              <w:start w:w="80" w:type="dxa"/>
              <w:bottom w:w="70" w:type="dxa"/>
              <w:end w:w="80" w:type="dxa"/>
            </w:tcMar>
            <w:vAlign w:val="top"/>
          </w:tcPr>
          <w:p>
            <w:pPr>
              <w:spacing w:after="0"/>
            </w:pPr>
            <w:r>
              <w:rPr>
                <w:color w:val="12202B"/>
                <w:sz w:val="16"/>
              </w:rPr>
              <w:t>device signature, e.g. P-256 DER</w:t>
            </w:r>
          </w:p>
        </w:tc>
        <w:tc>
          <w:tcPr>
            <w:tcW w:type="dxa" w:w="3456"/>
            <w:tcMar>
              <w:top w:w="70" w:type="dxa"/>
              <w:start w:w="80" w:type="dxa"/>
              <w:bottom w:w="70" w:type="dxa"/>
              <w:end w:w="80" w:type="dxa"/>
            </w:tcMar>
            <w:vAlign w:val="top"/>
          </w:tcPr>
          <w:p>
            <w:pPr>
              <w:spacing w:after="0"/>
            </w:pPr>
            <w:r>
              <w:rPr>
                <w:color w:val="12202B"/>
                <w:sz w:val="16"/>
              </w:rPr>
              <w:t>Required when the profile mandates device attestation.</w:t>
            </w:r>
          </w:p>
        </w:tc>
      </w:tr>
    </w:tbl>
    <w:p>
      <w:pPr>
        <w:pStyle w:val="Heading2"/>
      </w:pPr>
      <w:r>
        <w:t>5.2 Decision Envelope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528"/>
            <w:shd w:fill="123B5A"/>
            <w:vAlign w:val="center"/>
            <w:tcMar>
              <w:top w:w="70" w:type="dxa"/>
              <w:start w:w="80" w:type="dxa"/>
              <w:bottom w:w="70" w:type="dxa"/>
              <w:end w:w="80" w:type="dxa"/>
            </w:tcMar>
          </w:tcPr>
          <w:p>
            <w:r>
              <w:rPr>
                <w:b/>
                <w:color w:val="FFFFFF"/>
                <w:sz w:val="17"/>
              </w:rPr>
              <w:t>Field</w:t>
            </w:r>
          </w:p>
        </w:tc>
        <w:tc>
          <w:tcPr>
            <w:tcW w:type="dxa" w:w="6912"/>
            <w:shd w:fill="123B5A"/>
            <w:vAlign w:val="center"/>
            <w:tcMar>
              <w:top w:w="70" w:type="dxa"/>
              <w:start w:w="80" w:type="dxa"/>
              <w:bottom w:w="70" w:type="dxa"/>
              <w:end w:w="80" w:type="dxa"/>
            </w:tcMar>
          </w:tcPr>
          <w:p>
            <w:r>
              <w:rPr>
                <w:b/>
                <w:color w:val="FFFFFF"/>
                <w:sz w:val="17"/>
              </w:rPr>
              <w:t>Purpose</w:t>
            </w:r>
          </w:p>
        </w:tc>
      </w:tr>
      <w:tr>
        <w:tc>
          <w:tcPr>
            <w:tcW w:type="dxa" w:w="5184"/>
            <w:tcMar>
              <w:top w:w="70" w:type="dxa"/>
              <w:start w:w="80" w:type="dxa"/>
              <w:bottom w:w="70" w:type="dxa"/>
              <w:end w:w="80" w:type="dxa"/>
            </w:tcMar>
            <w:vAlign w:val="top"/>
          </w:tcPr>
          <w:p>
            <w:pPr>
              <w:spacing w:after="0"/>
            </w:pPr>
            <w:r>
              <w:rPr>
                <w:color w:val="12202B"/>
                <w:sz w:val="17"/>
              </w:rPr>
              <w:t>decisionID</w:t>
            </w:r>
          </w:p>
        </w:tc>
        <w:tc>
          <w:tcPr>
            <w:tcW w:type="dxa" w:w="5184"/>
            <w:tcMar>
              <w:top w:w="70" w:type="dxa"/>
              <w:start w:w="80" w:type="dxa"/>
              <w:bottom w:w="70" w:type="dxa"/>
              <w:end w:w="80" w:type="dxa"/>
            </w:tcMar>
            <w:vAlign w:val="top"/>
          </w:tcPr>
          <w:p>
            <w:pPr>
              <w:spacing w:after="0"/>
            </w:pPr>
            <w:r>
              <w:rPr>
                <w:color w:val="12202B"/>
                <w:sz w:val="17"/>
              </w:rPr>
              <w:t>Stable decision identifier.</w:t>
            </w:r>
          </w:p>
        </w:tc>
      </w:tr>
      <w:tr>
        <w:tc>
          <w:tcPr>
            <w:tcW w:type="dxa" w:w="5184"/>
            <w:tcMar>
              <w:top w:w="70" w:type="dxa"/>
              <w:start w:w="80" w:type="dxa"/>
              <w:bottom w:w="70" w:type="dxa"/>
              <w:end w:w="80" w:type="dxa"/>
            </w:tcMar>
            <w:vAlign w:val="top"/>
          </w:tcPr>
          <w:p>
            <w:pPr>
              <w:spacing w:after="0"/>
            </w:pPr>
            <w:r>
              <w:rPr>
                <w:color w:val="12202B"/>
                <w:sz w:val="17"/>
              </w:rPr>
              <w:t>observationHash</w:t>
            </w:r>
          </w:p>
        </w:tc>
        <w:tc>
          <w:tcPr>
            <w:tcW w:type="dxa" w:w="5184"/>
            <w:tcMar>
              <w:top w:w="70" w:type="dxa"/>
              <w:start w:w="80" w:type="dxa"/>
              <w:bottom w:w="70" w:type="dxa"/>
              <w:end w:w="80" w:type="dxa"/>
            </w:tcMar>
            <w:vAlign w:val="top"/>
          </w:tcPr>
          <w:p>
            <w:pPr>
              <w:spacing w:after="0"/>
            </w:pPr>
            <w:r>
              <w:rPr>
                <w:color w:val="12202B"/>
                <w:sz w:val="17"/>
              </w:rPr>
              <w:t>Binds the decision to canonical normalized input.</w:t>
            </w:r>
          </w:p>
        </w:tc>
      </w:tr>
      <w:tr>
        <w:tc>
          <w:tcPr>
            <w:tcW w:type="dxa" w:w="5184"/>
            <w:tcMar>
              <w:top w:w="70" w:type="dxa"/>
              <w:start w:w="80" w:type="dxa"/>
              <w:bottom w:w="70" w:type="dxa"/>
              <w:end w:w="80" w:type="dxa"/>
            </w:tcMar>
            <w:vAlign w:val="top"/>
          </w:tcPr>
          <w:p>
            <w:pPr>
              <w:spacing w:after="0"/>
            </w:pPr>
            <w:r>
              <w:rPr>
                <w:color w:val="12202B"/>
                <w:sz w:val="17"/>
              </w:rPr>
              <w:t>policyID / policyVersion / policyHash</w:t>
            </w:r>
          </w:p>
        </w:tc>
        <w:tc>
          <w:tcPr>
            <w:tcW w:type="dxa" w:w="5184"/>
            <w:tcMar>
              <w:top w:w="70" w:type="dxa"/>
              <w:start w:w="80" w:type="dxa"/>
              <w:bottom w:w="70" w:type="dxa"/>
              <w:end w:w="80" w:type="dxa"/>
            </w:tcMar>
            <w:vAlign w:val="top"/>
          </w:tcPr>
          <w:p>
            <w:pPr>
              <w:spacing w:after="0"/>
            </w:pPr>
            <w:r>
              <w:rPr>
                <w:color w:val="12202B"/>
                <w:sz w:val="17"/>
              </w:rPr>
              <w:t>Pins the exact rule artifact evaluated.</w:t>
            </w:r>
          </w:p>
        </w:tc>
      </w:tr>
      <w:tr>
        <w:tc>
          <w:tcPr>
            <w:tcW w:type="dxa" w:w="5184"/>
            <w:tcMar>
              <w:top w:w="70" w:type="dxa"/>
              <w:start w:w="80" w:type="dxa"/>
              <w:bottom w:w="70" w:type="dxa"/>
              <w:end w:w="80" w:type="dxa"/>
            </w:tcMar>
            <w:vAlign w:val="top"/>
          </w:tcPr>
          <w:p>
            <w:pPr>
              <w:spacing w:after="0"/>
            </w:pPr>
            <w:r>
              <w:rPr>
                <w:color w:val="12202B"/>
                <w:sz w:val="17"/>
              </w:rPr>
              <w:t>engineVersion / buildHash</w:t>
            </w:r>
          </w:p>
        </w:tc>
        <w:tc>
          <w:tcPr>
            <w:tcW w:type="dxa" w:w="5184"/>
            <w:tcMar>
              <w:top w:w="70" w:type="dxa"/>
              <w:start w:w="80" w:type="dxa"/>
              <w:bottom w:w="70" w:type="dxa"/>
              <w:end w:w="80" w:type="dxa"/>
            </w:tcMar>
            <w:vAlign w:val="top"/>
          </w:tcPr>
          <w:p>
            <w:pPr>
              <w:spacing w:after="0"/>
            </w:pPr>
            <w:r>
              <w:rPr>
                <w:color w:val="12202B"/>
                <w:sz w:val="17"/>
              </w:rPr>
              <w:t>Pins the RustGate implementation/build used.</w:t>
            </w:r>
          </w:p>
        </w:tc>
      </w:tr>
      <w:tr>
        <w:tc>
          <w:tcPr>
            <w:tcW w:type="dxa" w:w="5184"/>
            <w:tcMar>
              <w:top w:w="70" w:type="dxa"/>
              <w:start w:w="80" w:type="dxa"/>
              <w:bottom w:w="70" w:type="dxa"/>
              <w:end w:w="80" w:type="dxa"/>
            </w:tcMar>
            <w:vAlign w:val="top"/>
          </w:tcPr>
          <w:p>
            <w:pPr>
              <w:spacing w:after="0"/>
            </w:pPr>
            <w:r>
              <w:rPr>
                <w:color w:val="12202B"/>
                <w:sz w:val="17"/>
              </w:rPr>
              <w:t>outcome</w:t>
            </w:r>
          </w:p>
        </w:tc>
        <w:tc>
          <w:tcPr>
            <w:tcW w:type="dxa" w:w="5184"/>
            <w:tcMar>
              <w:top w:w="70" w:type="dxa"/>
              <w:start w:w="80" w:type="dxa"/>
              <w:bottom w:w="70" w:type="dxa"/>
              <w:end w:w="80" w:type="dxa"/>
            </w:tcMar>
            <w:vAlign w:val="top"/>
          </w:tcPr>
          <w:p>
            <w:pPr>
              <w:spacing w:after="0"/>
            </w:pPr>
            <w:r>
              <w:rPr>
                <w:color w:val="12202B"/>
                <w:sz w:val="17"/>
              </w:rPr>
              <w:t>ALLOW, DENY, REVIEW, QUARANTINE, or domain-mapped equivalent.</w:t>
            </w:r>
          </w:p>
        </w:tc>
      </w:tr>
      <w:tr>
        <w:tc>
          <w:tcPr>
            <w:tcW w:type="dxa" w:w="5184"/>
            <w:tcMar>
              <w:top w:w="70" w:type="dxa"/>
              <w:start w:w="80" w:type="dxa"/>
              <w:bottom w:w="70" w:type="dxa"/>
              <w:end w:w="80" w:type="dxa"/>
            </w:tcMar>
            <w:vAlign w:val="top"/>
          </w:tcPr>
          <w:p>
            <w:pPr>
              <w:spacing w:after="0"/>
            </w:pPr>
            <w:r>
              <w:rPr>
                <w:color w:val="12202B"/>
                <w:sz w:val="17"/>
              </w:rPr>
              <w:t>reasonCodes</w:t>
            </w:r>
          </w:p>
        </w:tc>
        <w:tc>
          <w:tcPr>
            <w:tcW w:type="dxa" w:w="5184"/>
            <w:tcMar>
              <w:top w:w="70" w:type="dxa"/>
              <w:start w:w="80" w:type="dxa"/>
              <w:bottom w:w="70" w:type="dxa"/>
              <w:end w:w="80" w:type="dxa"/>
            </w:tcMar>
            <w:vAlign w:val="top"/>
          </w:tcPr>
          <w:p>
            <w:pPr>
              <w:spacing w:after="0"/>
            </w:pPr>
            <w:r>
              <w:rPr>
                <w:color w:val="12202B"/>
                <w:sz w:val="17"/>
              </w:rPr>
              <w:t>Machine-readable rules/conditions that determined the outcome.</w:t>
            </w:r>
          </w:p>
        </w:tc>
      </w:tr>
      <w:tr>
        <w:tc>
          <w:tcPr>
            <w:tcW w:type="dxa" w:w="5184"/>
            <w:tcMar>
              <w:top w:w="70" w:type="dxa"/>
              <w:start w:w="80" w:type="dxa"/>
              <w:bottom w:w="70" w:type="dxa"/>
              <w:end w:w="80" w:type="dxa"/>
            </w:tcMar>
            <w:vAlign w:val="top"/>
          </w:tcPr>
          <w:p>
            <w:pPr>
              <w:spacing w:after="0"/>
            </w:pPr>
            <w:r>
              <w:rPr>
                <w:color w:val="12202B"/>
                <w:sz w:val="17"/>
              </w:rPr>
              <w:t>decisionTimestamp</w:t>
            </w:r>
          </w:p>
        </w:tc>
        <w:tc>
          <w:tcPr>
            <w:tcW w:type="dxa" w:w="5184"/>
            <w:tcMar>
              <w:top w:w="70" w:type="dxa"/>
              <w:start w:w="80" w:type="dxa"/>
              <w:bottom w:w="70" w:type="dxa"/>
              <w:end w:w="80" w:type="dxa"/>
            </w:tcMar>
            <w:vAlign w:val="top"/>
          </w:tcPr>
          <w:p>
            <w:pPr>
              <w:spacing w:after="0"/>
            </w:pPr>
            <w:r>
              <w:rPr>
                <w:color w:val="12202B"/>
                <w:sz w:val="17"/>
              </w:rPr>
              <w:t>Commit time.</w:t>
            </w:r>
          </w:p>
        </w:tc>
      </w:tr>
      <w:tr>
        <w:tc>
          <w:tcPr>
            <w:tcW w:type="dxa" w:w="5184"/>
            <w:tcMar>
              <w:top w:w="70" w:type="dxa"/>
              <w:start w:w="80" w:type="dxa"/>
              <w:bottom w:w="70" w:type="dxa"/>
              <w:end w:w="80" w:type="dxa"/>
            </w:tcMar>
            <w:vAlign w:val="top"/>
          </w:tcPr>
          <w:p>
            <w:pPr>
              <w:spacing w:after="0"/>
            </w:pPr>
            <w:r>
              <w:rPr>
                <w:color w:val="12202B"/>
                <w:sz w:val="17"/>
              </w:rPr>
              <w:t>parentDecisionHash / sequence</w:t>
            </w:r>
          </w:p>
        </w:tc>
        <w:tc>
          <w:tcPr>
            <w:tcW w:type="dxa" w:w="5184"/>
            <w:tcMar>
              <w:top w:w="70" w:type="dxa"/>
              <w:start w:w="80" w:type="dxa"/>
              <w:bottom w:w="70" w:type="dxa"/>
              <w:end w:w="80" w:type="dxa"/>
            </w:tcMar>
            <w:vAlign w:val="top"/>
          </w:tcPr>
          <w:p>
            <w:pPr>
              <w:spacing w:after="0"/>
            </w:pPr>
            <w:r>
              <w:rPr>
                <w:color w:val="12202B"/>
                <w:sz w:val="17"/>
              </w:rPr>
              <w:t>Links the scoped decision history when chaining is enabled.</w:t>
            </w:r>
          </w:p>
        </w:tc>
      </w:tr>
      <w:tr>
        <w:tc>
          <w:tcPr>
            <w:tcW w:type="dxa" w:w="5184"/>
            <w:tcMar>
              <w:top w:w="70" w:type="dxa"/>
              <w:start w:w="80" w:type="dxa"/>
              <w:bottom w:w="70" w:type="dxa"/>
              <w:end w:w="80" w:type="dxa"/>
            </w:tcMar>
            <w:vAlign w:val="top"/>
          </w:tcPr>
          <w:p>
            <w:pPr>
              <w:spacing w:after="0"/>
            </w:pPr>
            <w:r>
              <w:rPr>
                <w:color w:val="12202B"/>
                <w:sz w:val="17"/>
              </w:rPr>
              <w:t>authoritySignature / keyID / algorithm</w:t>
            </w:r>
          </w:p>
        </w:tc>
        <w:tc>
          <w:tcPr>
            <w:tcW w:type="dxa" w:w="5184"/>
            <w:tcMar>
              <w:top w:w="70" w:type="dxa"/>
              <w:start w:w="80" w:type="dxa"/>
              <w:bottom w:w="70" w:type="dxa"/>
              <w:end w:w="80" w:type="dxa"/>
            </w:tcMar>
            <w:vAlign w:val="top"/>
          </w:tcPr>
          <w:p>
            <w:pPr>
              <w:spacing w:after="0"/>
            </w:pPr>
            <w:r>
              <w:rPr>
                <w:color w:val="12202B"/>
                <w:sz w:val="17"/>
              </w:rPr>
              <w:t>Authenticates the committed decision record.</w:t>
            </w:r>
          </w:p>
        </w:tc>
      </w:tr>
      <w:tr>
        <w:tc>
          <w:tcPr>
            <w:tcW w:type="dxa" w:w="5184"/>
            <w:tcMar>
              <w:top w:w="70" w:type="dxa"/>
              <w:start w:w="80" w:type="dxa"/>
              <w:bottom w:w="70" w:type="dxa"/>
              <w:end w:w="80" w:type="dxa"/>
            </w:tcMar>
            <w:vAlign w:val="top"/>
          </w:tcPr>
          <w:p>
            <w:pPr>
              <w:spacing w:after="0"/>
            </w:pPr>
            <w:r>
              <w:rPr>
                <w:color w:val="12202B"/>
                <w:sz w:val="17"/>
              </w:rPr>
              <w:t>evidenceRefs</w:t>
            </w:r>
          </w:p>
        </w:tc>
        <w:tc>
          <w:tcPr>
            <w:tcW w:type="dxa" w:w="5184"/>
            <w:tcMar>
              <w:top w:w="70" w:type="dxa"/>
              <w:start w:w="80" w:type="dxa"/>
              <w:bottom w:w="70" w:type="dxa"/>
              <w:end w:w="80" w:type="dxa"/>
            </w:tcMar>
            <w:vAlign w:val="top"/>
          </w:tcPr>
          <w:p>
            <w:pPr>
              <w:spacing w:after="0"/>
            </w:pPr>
            <w:r>
              <w:rPr>
                <w:color w:val="12202B"/>
                <w:sz w:val="17"/>
              </w:rPr>
              <w:t>References to retained evidence objects; optional if policy is metadata-only.</w:t>
            </w:r>
          </w:p>
        </w:tc>
      </w:tr>
    </w:tbl>
    <w:p>
      <w:pPr>
        <w:pStyle w:val="Heading1"/>
      </w:pPr>
      <w:r>
        <w:t>6. Determinism Contract</w:t>
      </w:r>
    </w:p>
    <w:p>
      <w:r>
        <w:t>ShelfCat determinism applies to the policy evaluation boundary, not to the upstream probabilistic model. Reproducibility requires more than repeating the same raw image.</w:t>
      </w:r>
    </w:p>
    <w:p>
      <w:pPr>
        <w:pStyle w:val="ListBullet"/>
        <w:spacing w:after="60"/>
      </w:pPr>
      <w:r>
        <w:t>RustGate MUST receive a canonical normalized observation, pinned policy artifact, pinned engine/build identity, and the configuration values that influence policy execution.</w:t>
      </w:r>
    </w:p>
    <w:p>
      <w:pPr>
        <w:pStyle w:val="ListBullet"/>
        <w:spacing w:after="60"/>
      </w:pPr>
      <w:r>
        <w:t>The evaluator MUST avoid unseeded randomness, wall-clock dependent logic without an explicit timestamp input, nondeterministic iteration that changes semantic results, or hidden remote dependencies.</w:t>
      </w:r>
    </w:p>
    <w:p>
      <w:pPr>
        <w:pStyle w:val="ListBullet"/>
        <w:spacing w:after="60"/>
      </w:pPr>
      <w:r>
        <w:t>A replay is valid when the same canonical decision inputs yield the same outcome and reason codes under the same evaluator semantics.</w:t>
      </w:r>
    </w:p>
    <w:p>
      <w:pPr>
        <w:pStyle w:val="ListBullet"/>
        <w:spacing w:after="60"/>
      </w:pPr>
      <w:r>
        <w:t>Model outputs can vary between model versions or hardware/runtime profiles; therefore model accuracy, calibration, robustness, and drift are separate validation domains.</w:t>
      </w:r>
    </w:p>
    <w:p>
      <w:pPr>
        <w:pStyle w:val="ListBullet"/>
        <w:spacing w:after="60"/>
      </w:pPr>
      <w:r>
        <w:t>“Same input → same output” is acceptable shorthand only when “input” means the complete deterministic decision envelope, not merely the source media.</w:t>
      </w:r>
    </w:p>
    <w:tbl>
      <w:tblPr>
        <w:tblW w:type="auto" w:w="0"/>
        <w:jc w:val="center"/>
        <w:tblLook w:firstColumn="1" w:firstRow="1" w:lastColumn="0" w:lastRow="0" w:noHBand="0" w:noVBand="1" w:val="04A0"/>
      </w:tblPr>
      <w:tblGrid>
        <w:gridCol w:w="10368"/>
      </w:tblGrid>
      <w:tr>
        <w:tc>
          <w:tcPr>
            <w:tcW w:type="dxa" w:w="10368"/>
            <w:shd w:fill="F4F8FB"/>
            <w:tcMar>
              <w:top w:w="120" w:type="dxa"/>
              <w:start w:w="140" w:type="dxa"/>
              <w:bottom w:w="120" w:type="dxa"/>
              <w:end w:w="140" w:type="dxa"/>
            </w:tcMar>
          </w:tcPr>
          <w:p>
            <w:r>
              <w:rPr>
                <w:b/>
                <w:color w:val="123B5A"/>
              </w:rPr>
              <w:t xml:space="preserve">Corrected claim — </w:t>
            </w:r>
            <w:r>
              <w:rPr>
                <w:color w:val="12202B"/>
              </w:rPr>
              <w:t>Do not express determinism as “≥99.5% validation accuracy.” Determinism is a reproducibility property. Accuracy is an empirical property of a classifier, detector, OCR model, or the end-to-end workflow against labeled ground truth.</w:t>
            </w:r>
          </w:p>
        </w:tc>
      </w:tr>
    </w:tbl>
    <w:p>
      <w:pPr>
        <w:pStyle w:val="Heading1"/>
      </w:pPr>
      <w:r>
        <w:t>7. Policy Pack Lifecycle &amp; Governance</w:t>
      </w:r>
    </w:p>
    <w:p>
      <w:pPr>
        <w:pStyle w:val="ListNumber"/>
        <w:spacing w:after="60"/>
      </w:pPr>
      <w:r>
        <w:t>Draft policy from customer/domain requirements and explicit thresholds.</w:t>
      </w:r>
    </w:p>
    <w:p>
      <w:pPr>
        <w:pStyle w:val="ListNumber"/>
        <w:spacing w:after="60"/>
      </w:pPr>
      <w:r>
        <w:t>Compile/validate schema and reject ambiguous or incomplete rules.</w:t>
      </w:r>
    </w:p>
    <w:p>
      <w:pPr>
        <w:pStyle w:val="ListNumber"/>
        <w:spacing w:after="60"/>
      </w:pPr>
      <w:r>
        <w:t>Run golden-vector tests, boundary tests, malformed-input tests, and replay tests.</w:t>
      </w:r>
    </w:p>
    <w:p>
      <w:pPr>
        <w:pStyle w:val="ListNumber"/>
        <w:spacing w:after="60"/>
      </w:pPr>
      <w:r>
        <w:t>Assign immutable policy ID, semantic version, hash, owner, approval status, and effective date.</w:t>
      </w:r>
    </w:p>
    <w:p>
      <w:pPr>
        <w:pStyle w:val="ListNumber"/>
        <w:spacing w:after="60"/>
      </w:pPr>
      <w:r>
        <w:t>Sign/publish the policy pack to the approved registry.</w:t>
      </w:r>
    </w:p>
    <w:p>
      <w:pPr>
        <w:pStyle w:val="ListNumber"/>
        <w:spacing w:after="60"/>
      </w:pPr>
      <w:r>
        <w:t>Deploy by explicit promotion; never silently mutate a deployed policy version.</w:t>
      </w:r>
    </w:p>
    <w:p>
      <w:pPr>
        <w:pStyle w:val="ListNumber"/>
        <w:spacing w:after="60"/>
      </w:pPr>
      <w:r>
        <w:t>Rollback by activating a prior signed version while preserving the original decision history.</w:t>
      </w:r>
    </w:p>
    <w:p>
      <w:pPr>
        <w:pStyle w:val="ListNumber"/>
        <w:spacing w:after="60"/>
      </w:pPr>
      <w:r>
        <w:t>Retire policy while preserving artifact metadata required to replay historical decisions.</w:t>
      </w:r>
    </w:p>
    <w:p>
      <w:pPr>
        <w:pStyle w:val="Heading1"/>
      </w:pPr>
      <w:r>
        <w:t>8. Cryptographic Evidence &amp; Provenance</w:t>
      </w:r>
    </w:p>
    <w:p>
      <w:r>
        <w:t>Cryptographic evidence is layered. Device authenticity and authority-of-record signing serve different purposes and SHOULD use distinct keys and lifecycle controls.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123B5A"/>
            <w:vAlign w:val="center"/>
            <w:tcMar>
              <w:top w:w="70" w:type="dxa"/>
              <w:start w:w="80" w:type="dxa"/>
              <w:bottom w:w="70" w:type="dxa"/>
              <w:end w:w="80" w:type="dxa"/>
            </w:tcMar>
          </w:tcPr>
          <w:p>
            <w:r>
              <w:rPr>
                <w:b/>
                <w:color w:val="FFFFFF"/>
                <w:sz w:val="17"/>
              </w:rPr>
              <w:t>Mechanism</w:t>
            </w:r>
          </w:p>
        </w:tc>
        <w:tc>
          <w:tcPr>
            <w:tcW w:type="dxa" w:w="8280"/>
            <w:shd w:fill="123B5A"/>
            <w:vAlign w:val="center"/>
            <w:tcMar>
              <w:top w:w="70" w:type="dxa"/>
              <w:start w:w="80" w:type="dxa"/>
              <w:bottom w:w="70" w:type="dxa"/>
              <w:end w:w="80" w:type="dxa"/>
            </w:tcMar>
          </w:tcPr>
          <w:p>
            <w:r>
              <w:rPr>
                <w:b/>
                <w:color w:val="FFFFFF"/>
                <w:sz w:val="17"/>
              </w:rPr>
              <w:t>Authoritative Treatment</w:t>
            </w:r>
          </w:p>
        </w:tc>
      </w:tr>
      <w:tr>
        <w:tc>
          <w:tcPr>
            <w:tcW w:type="dxa" w:w="5184"/>
            <w:tcMar>
              <w:top w:w="70" w:type="dxa"/>
              <w:start w:w="80" w:type="dxa"/>
              <w:bottom w:w="70" w:type="dxa"/>
              <w:end w:w="80" w:type="dxa"/>
            </w:tcMar>
            <w:vAlign w:val="top"/>
          </w:tcPr>
          <w:p>
            <w:pPr>
              <w:spacing w:after="0"/>
            </w:pPr>
            <w:r>
              <w:rPr>
                <w:color w:val="12202B"/>
                <w:sz w:val="17"/>
              </w:rPr>
              <w:t>SHA-256 hashing</w:t>
            </w:r>
          </w:p>
        </w:tc>
        <w:tc>
          <w:tcPr>
            <w:tcW w:type="dxa" w:w="5184"/>
            <w:tcMar>
              <w:top w:w="70" w:type="dxa"/>
              <w:start w:w="80" w:type="dxa"/>
              <w:bottom w:w="70" w:type="dxa"/>
              <w:end w:w="80" w:type="dxa"/>
            </w:tcMar>
            <w:vAlign w:val="top"/>
          </w:tcPr>
          <w:p>
            <w:pPr>
              <w:spacing w:after="0"/>
            </w:pPr>
            <w:r>
              <w:rPr>
                <w:color w:val="12202B"/>
                <w:sz w:val="17"/>
              </w:rPr>
              <w:t>Bind canonical payloads, policies, builds, and parent references. Algorithm identifier/version SHOULD be explicit.</w:t>
            </w:r>
          </w:p>
        </w:tc>
      </w:tr>
      <w:tr>
        <w:tc>
          <w:tcPr>
            <w:tcW w:type="dxa" w:w="5184"/>
            <w:tcMar>
              <w:top w:w="70" w:type="dxa"/>
              <w:start w:w="80" w:type="dxa"/>
              <w:bottom w:w="70" w:type="dxa"/>
              <w:end w:w="80" w:type="dxa"/>
            </w:tcMar>
            <w:vAlign w:val="top"/>
          </w:tcPr>
          <w:p>
            <w:pPr>
              <w:spacing w:after="0"/>
            </w:pPr>
            <w:r>
              <w:rPr>
                <w:color w:val="12202B"/>
                <w:sz w:val="17"/>
              </w:rPr>
              <w:t>Device signing</w:t>
            </w:r>
          </w:p>
        </w:tc>
        <w:tc>
          <w:tcPr>
            <w:tcW w:type="dxa" w:w="5184"/>
            <w:tcMar>
              <w:top w:w="70" w:type="dxa"/>
              <w:start w:w="80" w:type="dxa"/>
              <w:bottom w:w="70" w:type="dxa"/>
              <w:end w:w="80" w:type="dxa"/>
            </w:tcMar>
            <w:vAlign w:val="top"/>
          </w:tcPr>
          <w:p>
            <w:pPr>
              <w:spacing w:after="0"/>
            </w:pPr>
            <w:r>
              <w:rPr>
                <w:color w:val="12202B"/>
                <w:sz w:val="17"/>
              </w:rPr>
              <w:t>On iOS, P-256 Secure Enclave signing is an appropriate device provenance mechanism; other platforms use equivalent hardware-backed keys where available.</w:t>
            </w:r>
          </w:p>
        </w:tc>
      </w:tr>
      <w:tr>
        <w:tc>
          <w:tcPr>
            <w:tcW w:type="dxa" w:w="5184"/>
            <w:tcMar>
              <w:top w:w="70" w:type="dxa"/>
              <w:start w:w="80" w:type="dxa"/>
              <w:bottom w:w="70" w:type="dxa"/>
              <w:end w:w="80" w:type="dxa"/>
            </w:tcMar>
            <w:vAlign w:val="top"/>
          </w:tcPr>
          <w:p>
            <w:pPr>
              <w:spacing w:after="0"/>
            </w:pPr>
            <w:r>
              <w:rPr>
                <w:color w:val="12202B"/>
                <w:sz w:val="17"/>
              </w:rPr>
              <w:t>RustGate / authority signing</w:t>
            </w:r>
          </w:p>
        </w:tc>
        <w:tc>
          <w:tcPr>
            <w:tcW w:type="dxa" w:w="5184"/>
            <w:tcMar>
              <w:top w:w="70" w:type="dxa"/>
              <w:start w:w="80" w:type="dxa"/>
              <w:bottom w:w="70" w:type="dxa"/>
              <w:end w:w="80" w:type="dxa"/>
            </w:tcMar>
            <w:vAlign w:val="top"/>
          </w:tcPr>
          <w:p>
            <w:pPr>
              <w:spacing w:after="0"/>
            </w:pPr>
            <w:r>
              <w:rPr>
                <w:color w:val="12202B"/>
                <w:sz w:val="17"/>
              </w:rPr>
              <w:t>Ed25519 is suitable for an authority-signing profile when governed, rotated, and protected; enterprise deployments may define an alternative approved algorithm.</w:t>
            </w:r>
          </w:p>
        </w:tc>
      </w:tr>
      <w:tr>
        <w:tc>
          <w:tcPr>
            <w:tcW w:type="dxa" w:w="5184"/>
            <w:tcMar>
              <w:top w:w="70" w:type="dxa"/>
              <w:start w:w="80" w:type="dxa"/>
              <w:bottom w:w="70" w:type="dxa"/>
              <w:end w:w="80" w:type="dxa"/>
            </w:tcMar>
            <w:vAlign w:val="top"/>
          </w:tcPr>
          <w:p>
            <w:pPr>
              <w:spacing w:after="0"/>
            </w:pPr>
            <w:r>
              <w:rPr>
                <w:color w:val="12202B"/>
                <w:sz w:val="17"/>
              </w:rPr>
              <w:t>Key custody</w:t>
            </w:r>
          </w:p>
        </w:tc>
        <w:tc>
          <w:tcPr>
            <w:tcW w:type="dxa" w:w="5184"/>
            <w:tcMar>
              <w:top w:w="70" w:type="dxa"/>
              <w:start w:w="80" w:type="dxa"/>
              <w:bottom w:w="70" w:type="dxa"/>
              <w:end w:w="80" w:type="dxa"/>
            </w:tcMar>
            <w:vAlign w:val="top"/>
          </w:tcPr>
          <w:p>
            <w:pPr>
              <w:spacing w:after="0"/>
            </w:pPr>
            <w:r>
              <w:rPr>
                <w:color w:val="12202B"/>
                <w:sz w:val="17"/>
              </w:rPr>
              <w:t>Server authority keys SHOULD reside in Key Vault/Managed HSM or equivalent. Private keys MUST NOT be embedded in application images or source repositories.</w:t>
            </w:r>
          </w:p>
        </w:tc>
      </w:tr>
      <w:tr>
        <w:tc>
          <w:tcPr>
            <w:tcW w:type="dxa" w:w="5184"/>
            <w:tcMar>
              <w:top w:w="70" w:type="dxa"/>
              <w:start w:w="80" w:type="dxa"/>
              <w:bottom w:w="70" w:type="dxa"/>
              <w:end w:w="80" w:type="dxa"/>
            </w:tcMar>
            <w:vAlign w:val="top"/>
          </w:tcPr>
          <w:p>
            <w:pPr>
              <w:spacing w:after="0"/>
            </w:pPr>
            <w:r>
              <w:rPr>
                <w:color w:val="12202B"/>
                <w:sz w:val="17"/>
              </w:rPr>
              <w:t>Hash chain</w:t>
            </w:r>
          </w:p>
        </w:tc>
        <w:tc>
          <w:tcPr>
            <w:tcW w:type="dxa" w:w="5184"/>
            <w:tcMar>
              <w:top w:w="70" w:type="dxa"/>
              <w:start w:w="80" w:type="dxa"/>
              <w:bottom w:w="70" w:type="dxa"/>
              <w:end w:w="80" w:type="dxa"/>
            </w:tcMar>
            <w:vAlign w:val="top"/>
          </w:tcPr>
          <w:p>
            <w:pPr>
              <w:spacing w:after="0"/>
            </w:pPr>
            <w:r>
              <w:rPr>
                <w:color w:val="12202B"/>
                <w:sz w:val="17"/>
              </w:rPr>
              <w:t>Parent hash + monotonic sequence provides tamper-evident lineage within a scoped ledger. External anchoring is optional.</w:t>
            </w:r>
          </w:p>
        </w:tc>
      </w:tr>
      <w:tr>
        <w:tc>
          <w:tcPr>
            <w:tcW w:type="dxa" w:w="5184"/>
            <w:tcMar>
              <w:top w:w="70" w:type="dxa"/>
              <w:start w:w="80" w:type="dxa"/>
              <w:bottom w:w="70" w:type="dxa"/>
              <w:end w:w="80" w:type="dxa"/>
            </w:tcMar>
            <w:vAlign w:val="top"/>
          </w:tcPr>
          <w:p>
            <w:pPr>
              <w:spacing w:after="0"/>
            </w:pPr>
            <w:r>
              <w:rPr>
                <w:color w:val="12202B"/>
                <w:sz w:val="17"/>
              </w:rPr>
              <w:t>DCT watermarking</w:t>
            </w:r>
          </w:p>
        </w:tc>
        <w:tc>
          <w:tcPr>
            <w:tcW w:type="dxa" w:w="5184"/>
            <w:tcMar>
              <w:top w:w="70" w:type="dxa"/>
              <w:start w:w="80" w:type="dxa"/>
              <w:bottom w:w="70" w:type="dxa"/>
              <w:end w:w="80" w:type="dxa"/>
            </w:tcMar>
            <w:vAlign w:val="top"/>
          </w:tcPr>
          <w:p>
            <w:pPr>
              <w:spacing w:after="0"/>
            </w:pPr>
            <w:r>
              <w:rPr>
                <w:color w:val="12202B"/>
                <w:sz w:val="17"/>
              </w:rPr>
              <w:t>Supplemental provenance/tamper signal only. It MUST NOT replace hashes/signatures.</w:t>
            </w:r>
          </w:p>
        </w:tc>
      </w:tr>
      <w:tr>
        <w:tc>
          <w:tcPr>
            <w:tcW w:type="dxa" w:w="5184"/>
            <w:tcMar>
              <w:top w:w="70" w:type="dxa"/>
              <w:start w:w="80" w:type="dxa"/>
              <w:bottom w:w="70" w:type="dxa"/>
              <w:end w:w="80" w:type="dxa"/>
            </w:tcMar>
            <w:vAlign w:val="top"/>
          </w:tcPr>
          <w:p>
            <w:pPr>
              <w:spacing w:after="0"/>
            </w:pPr>
            <w:r>
              <w:rPr>
                <w:color w:val="12202B"/>
                <w:sz w:val="17"/>
              </w:rPr>
              <w:t>Blockchain</w:t>
            </w:r>
          </w:p>
        </w:tc>
        <w:tc>
          <w:tcPr>
            <w:tcW w:type="dxa" w:w="5184"/>
            <w:tcMar>
              <w:top w:w="70" w:type="dxa"/>
              <w:start w:w="80" w:type="dxa"/>
              <w:bottom w:w="70" w:type="dxa"/>
              <w:end w:w="80" w:type="dxa"/>
            </w:tcMar>
            <w:vAlign w:val="top"/>
          </w:tcPr>
          <w:p>
            <w:pPr>
              <w:spacing w:after="0"/>
            </w:pPr>
            <w:r>
              <w:rPr>
                <w:color w:val="12202B"/>
                <w:sz w:val="17"/>
              </w:rPr>
              <w:t>Not a core requirement. Use a signed hash-chained ledger unless a customer requirement justifies external distributed anchoring.</w:t>
            </w:r>
          </w:p>
        </w:tc>
      </w:tr>
      <w:tr>
        <w:tc>
          <w:tcPr>
            <w:tcW w:type="dxa" w:w="5184"/>
            <w:tcMar>
              <w:top w:w="70" w:type="dxa"/>
              <w:start w:w="80" w:type="dxa"/>
              <w:bottom w:w="70" w:type="dxa"/>
              <w:end w:w="80" w:type="dxa"/>
            </w:tcMar>
            <w:vAlign w:val="top"/>
          </w:tcPr>
          <w:p>
            <w:pPr>
              <w:spacing w:after="0"/>
            </w:pPr>
            <w:r>
              <w:rPr>
                <w:color w:val="12202B"/>
                <w:sz w:val="17"/>
              </w:rPr>
              <w:t>PQC</w:t>
            </w:r>
          </w:p>
        </w:tc>
        <w:tc>
          <w:tcPr>
            <w:tcW w:type="dxa" w:w="5184"/>
            <w:tcMar>
              <w:top w:w="70" w:type="dxa"/>
              <w:start w:w="80" w:type="dxa"/>
              <w:bottom w:w="70" w:type="dxa"/>
              <w:end w:w="80" w:type="dxa"/>
            </w:tcMar>
            <w:vAlign w:val="top"/>
          </w:tcPr>
          <w:p>
            <w:pPr>
              <w:spacing w:after="0"/>
            </w:pPr>
            <w:r>
              <w:rPr>
                <w:color w:val="12202B"/>
                <w:sz w:val="17"/>
              </w:rPr>
              <w:t>Crypto-agility and post-quantum migration readiness are roadmap items; do not represent PQC as a current retail production prerequisite without validated implementation.</w:t>
            </w:r>
          </w:p>
        </w:tc>
      </w:tr>
    </w:tbl>
    <w:p>
      <w:pPr>
        <w:pStyle w:val="Heading1"/>
      </w:pPr>
      <w:r>
        <w:t>9. Multi-Tenancy, Data Isolation &amp; Retention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23B5A"/>
            <w:vAlign w:val="center"/>
            <w:tcMar>
              <w:top w:w="70" w:type="dxa"/>
              <w:start w:w="80" w:type="dxa"/>
              <w:bottom w:w="70" w:type="dxa"/>
              <w:end w:w="80" w:type="dxa"/>
            </w:tcMar>
          </w:tcPr>
          <w:p>
            <w:r>
              <w:rPr>
                <w:b/>
                <w:color w:val="FFFFFF"/>
                <w:sz w:val="16"/>
              </w:rPr>
              <w:t>Area</w:t>
            </w:r>
          </w:p>
        </w:tc>
        <w:tc>
          <w:tcPr>
            <w:tcW w:type="dxa" w:w="4320"/>
            <w:shd w:fill="123B5A"/>
            <w:vAlign w:val="center"/>
            <w:tcMar>
              <w:top w:w="70" w:type="dxa"/>
              <w:start w:w="80" w:type="dxa"/>
              <w:bottom w:w="70" w:type="dxa"/>
              <w:end w:w="80" w:type="dxa"/>
            </w:tcMar>
          </w:tcPr>
          <w:p>
            <w:r>
              <w:rPr>
                <w:b/>
                <w:color w:val="FFFFFF"/>
                <w:sz w:val="16"/>
              </w:rPr>
              <w:t>Baseline</w:t>
            </w:r>
          </w:p>
        </w:tc>
        <w:tc>
          <w:tcPr>
            <w:tcW w:type="dxa" w:w="4320"/>
            <w:shd w:fill="123B5A"/>
            <w:vAlign w:val="center"/>
            <w:tcMar>
              <w:top w:w="70" w:type="dxa"/>
              <w:start w:w="80" w:type="dxa"/>
              <w:bottom w:w="70" w:type="dxa"/>
              <w:end w:w="80" w:type="dxa"/>
            </w:tcMar>
          </w:tcPr>
          <w:p>
            <w:r>
              <w:rPr>
                <w:b/>
                <w:color w:val="FFFFFF"/>
                <w:sz w:val="16"/>
              </w:rPr>
              <w:t>Stronger Profile</w:t>
            </w:r>
          </w:p>
        </w:tc>
      </w:tr>
      <w:tr>
        <w:tc>
          <w:tcPr>
            <w:tcW w:type="dxa" w:w="3456"/>
            <w:tcMar>
              <w:top w:w="70" w:type="dxa"/>
              <w:start w:w="80" w:type="dxa"/>
              <w:bottom w:w="70" w:type="dxa"/>
              <w:end w:w="80" w:type="dxa"/>
            </w:tcMar>
            <w:vAlign w:val="top"/>
          </w:tcPr>
          <w:p>
            <w:pPr>
              <w:spacing w:after="0"/>
            </w:pPr>
            <w:r>
              <w:rPr>
                <w:color w:val="12202B"/>
                <w:sz w:val="16"/>
              </w:rPr>
              <w:t>Tenant state</w:t>
            </w:r>
          </w:p>
        </w:tc>
        <w:tc>
          <w:tcPr>
            <w:tcW w:type="dxa" w:w="3456"/>
            <w:tcMar>
              <w:top w:w="70" w:type="dxa"/>
              <w:start w:w="80" w:type="dxa"/>
              <w:bottom w:w="70" w:type="dxa"/>
              <w:end w:w="80" w:type="dxa"/>
            </w:tcMar>
            <w:vAlign w:val="top"/>
          </w:tcPr>
          <w:p>
            <w:pPr>
              <w:spacing w:after="0"/>
            </w:pPr>
            <w:r>
              <w:rPr>
                <w:color w:val="12202B"/>
                <w:sz w:val="16"/>
              </w:rPr>
              <w:t>Shared PostgreSQL with tenant IDs and Row-Level Security; service authorization enforces tenant scope.</w:t>
            </w:r>
          </w:p>
        </w:tc>
        <w:tc>
          <w:tcPr>
            <w:tcW w:type="dxa" w:w="3456"/>
            <w:tcMar>
              <w:top w:w="70" w:type="dxa"/>
              <w:start w:w="80" w:type="dxa"/>
              <w:bottom w:w="70" w:type="dxa"/>
              <w:end w:w="80" w:type="dxa"/>
            </w:tcMar>
            <w:vAlign w:val="top"/>
          </w:tcPr>
          <w:p>
            <w:pPr>
              <w:spacing w:after="0"/>
            </w:pPr>
            <w:r>
              <w:rPr>
                <w:color w:val="12202B"/>
                <w:sz w:val="16"/>
              </w:rPr>
              <w:t>Schema-per-tenant or database-per-tenant when contractual/regulatory isolation requires it.</w:t>
            </w:r>
          </w:p>
        </w:tc>
      </w:tr>
      <w:tr>
        <w:tc>
          <w:tcPr>
            <w:tcW w:type="dxa" w:w="3456"/>
            <w:tcMar>
              <w:top w:w="70" w:type="dxa"/>
              <w:start w:w="80" w:type="dxa"/>
              <w:bottom w:w="70" w:type="dxa"/>
              <w:end w:w="80" w:type="dxa"/>
            </w:tcMar>
            <w:vAlign w:val="top"/>
          </w:tcPr>
          <w:p>
            <w:pPr>
              <w:spacing w:after="0"/>
            </w:pPr>
            <w:r>
              <w:rPr>
                <w:color w:val="12202B"/>
                <w:sz w:val="16"/>
              </w:rPr>
              <w:t>Blob evidence</w:t>
            </w:r>
          </w:p>
        </w:tc>
        <w:tc>
          <w:tcPr>
            <w:tcW w:type="dxa" w:w="3456"/>
            <w:tcMar>
              <w:top w:w="70" w:type="dxa"/>
              <w:start w:w="80" w:type="dxa"/>
              <w:bottom w:w="70" w:type="dxa"/>
              <w:end w:w="80" w:type="dxa"/>
            </w:tcMar>
            <w:vAlign w:val="top"/>
          </w:tcPr>
          <w:p>
            <w:pPr>
              <w:spacing w:after="0"/>
            </w:pPr>
            <w:r>
              <w:rPr>
                <w:color w:val="12202B"/>
                <w:sz w:val="16"/>
              </w:rPr>
              <w:t>Tenant-scoped container/prefix + access policy + encryption.</w:t>
            </w:r>
          </w:p>
        </w:tc>
        <w:tc>
          <w:tcPr>
            <w:tcW w:type="dxa" w:w="3456"/>
            <w:tcMar>
              <w:top w:w="70" w:type="dxa"/>
              <w:start w:w="80" w:type="dxa"/>
              <w:bottom w:w="70" w:type="dxa"/>
              <w:end w:w="80" w:type="dxa"/>
            </w:tcMar>
            <w:vAlign w:val="top"/>
          </w:tcPr>
          <w:p>
            <w:pPr>
              <w:spacing w:after="0"/>
            </w:pPr>
            <w:r>
              <w:rPr>
                <w:color w:val="12202B"/>
                <w:sz w:val="16"/>
              </w:rPr>
              <w:t>Dedicated storage account/container, customer-managed keys, private endpoints.</w:t>
            </w:r>
          </w:p>
        </w:tc>
      </w:tr>
      <w:tr>
        <w:tc>
          <w:tcPr>
            <w:tcW w:type="dxa" w:w="3456"/>
            <w:tcMar>
              <w:top w:w="70" w:type="dxa"/>
              <w:start w:w="80" w:type="dxa"/>
              <w:bottom w:w="70" w:type="dxa"/>
              <w:end w:w="80" w:type="dxa"/>
            </w:tcMar>
            <w:vAlign w:val="top"/>
          </w:tcPr>
          <w:p>
            <w:pPr>
              <w:spacing w:after="0"/>
            </w:pPr>
            <w:r>
              <w:rPr>
                <w:color w:val="12202B"/>
                <w:sz w:val="16"/>
              </w:rPr>
              <w:t>Keys</w:t>
            </w:r>
          </w:p>
        </w:tc>
        <w:tc>
          <w:tcPr>
            <w:tcW w:type="dxa" w:w="3456"/>
            <w:tcMar>
              <w:top w:w="70" w:type="dxa"/>
              <w:start w:w="80" w:type="dxa"/>
              <w:bottom w:w="70" w:type="dxa"/>
              <w:end w:w="80" w:type="dxa"/>
            </w:tcMar>
            <w:vAlign w:val="top"/>
          </w:tcPr>
          <w:p>
            <w:pPr>
              <w:spacing w:after="0"/>
            </w:pPr>
            <w:r>
              <w:rPr>
                <w:color w:val="12202B"/>
                <w:sz w:val="16"/>
              </w:rPr>
              <w:t>Per-environment or governed per-tenant derivation/profile.</w:t>
            </w:r>
          </w:p>
        </w:tc>
        <w:tc>
          <w:tcPr>
            <w:tcW w:type="dxa" w:w="3456"/>
            <w:tcMar>
              <w:top w:w="70" w:type="dxa"/>
              <w:start w:w="80" w:type="dxa"/>
              <w:bottom w:w="70" w:type="dxa"/>
              <w:end w:w="80" w:type="dxa"/>
            </w:tcMar>
            <w:vAlign w:val="top"/>
          </w:tcPr>
          <w:p>
            <w:pPr>
              <w:spacing w:after="0"/>
            </w:pPr>
            <w:r>
              <w:rPr>
                <w:color w:val="12202B"/>
                <w:sz w:val="16"/>
              </w:rPr>
              <w:t>Dedicated customer key hierarchy/HSM partition as required.</w:t>
            </w:r>
          </w:p>
        </w:tc>
      </w:tr>
      <w:tr>
        <w:tc>
          <w:tcPr>
            <w:tcW w:type="dxa" w:w="3456"/>
            <w:tcMar>
              <w:top w:w="70" w:type="dxa"/>
              <w:start w:w="80" w:type="dxa"/>
              <w:bottom w:w="70" w:type="dxa"/>
              <w:end w:w="80" w:type="dxa"/>
            </w:tcMar>
            <w:vAlign w:val="top"/>
          </w:tcPr>
          <w:p>
            <w:pPr>
              <w:spacing w:after="0"/>
            </w:pPr>
            <w:r>
              <w:rPr>
                <w:color w:val="12202B"/>
                <w:sz w:val="16"/>
              </w:rPr>
              <w:t>Raw media</w:t>
            </w:r>
          </w:p>
        </w:tc>
        <w:tc>
          <w:tcPr>
            <w:tcW w:type="dxa" w:w="3456"/>
            <w:tcMar>
              <w:top w:w="70" w:type="dxa"/>
              <w:start w:w="80" w:type="dxa"/>
              <w:bottom w:w="70" w:type="dxa"/>
              <w:end w:w="80" w:type="dxa"/>
            </w:tcMar>
            <w:vAlign w:val="top"/>
          </w:tcPr>
          <w:p>
            <w:pPr>
              <w:spacing w:after="0"/>
            </w:pPr>
            <w:r>
              <w:rPr>
                <w:color w:val="12202B"/>
                <w:sz w:val="16"/>
              </w:rPr>
              <w:t>Metadata-only/local-first when workflow permits; upload only under explicit policy.</w:t>
            </w:r>
          </w:p>
        </w:tc>
        <w:tc>
          <w:tcPr>
            <w:tcW w:type="dxa" w:w="3456"/>
            <w:tcMar>
              <w:top w:w="70" w:type="dxa"/>
              <w:start w:w="80" w:type="dxa"/>
              <w:bottom w:w="70" w:type="dxa"/>
              <w:end w:w="80" w:type="dxa"/>
            </w:tcMar>
            <w:vAlign w:val="top"/>
          </w:tcPr>
          <w:p>
            <w:pPr>
              <w:spacing w:after="0"/>
            </w:pPr>
            <w:r>
              <w:rPr>
                <w:color w:val="12202B"/>
                <w:sz w:val="16"/>
              </w:rPr>
              <w:t>Immutable evidence retention with defined legal hold/retention schedule.</w:t>
            </w:r>
          </w:p>
        </w:tc>
      </w:tr>
      <w:tr>
        <w:tc>
          <w:tcPr>
            <w:tcW w:type="dxa" w:w="3456"/>
            <w:tcMar>
              <w:top w:w="70" w:type="dxa"/>
              <w:start w:w="80" w:type="dxa"/>
              <w:bottom w:w="70" w:type="dxa"/>
              <w:end w:w="80" w:type="dxa"/>
            </w:tcMar>
            <w:vAlign w:val="top"/>
          </w:tcPr>
          <w:p>
            <w:pPr>
              <w:spacing w:after="0"/>
            </w:pPr>
            <w:r>
              <w:rPr>
                <w:color w:val="12202B"/>
                <w:sz w:val="16"/>
              </w:rPr>
              <w:t>Deletion</w:t>
            </w:r>
          </w:p>
        </w:tc>
        <w:tc>
          <w:tcPr>
            <w:tcW w:type="dxa" w:w="3456"/>
            <w:tcMar>
              <w:top w:w="70" w:type="dxa"/>
              <w:start w:w="80" w:type="dxa"/>
              <w:bottom w:w="70" w:type="dxa"/>
              <w:end w:w="80" w:type="dxa"/>
            </w:tcMar>
            <w:vAlign w:val="top"/>
          </w:tcPr>
          <w:p>
            <w:pPr>
              <w:spacing w:after="0"/>
            </w:pPr>
            <w:r>
              <w:rPr>
                <w:color w:val="12202B"/>
                <w:sz w:val="16"/>
              </w:rPr>
              <w:t>Policy-driven retention, disposal log, and access control.</w:t>
            </w:r>
          </w:p>
        </w:tc>
        <w:tc>
          <w:tcPr>
            <w:tcW w:type="dxa" w:w="3456"/>
            <w:tcMar>
              <w:top w:w="70" w:type="dxa"/>
              <w:start w:w="80" w:type="dxa"/>
              <w:bottom w:w="70" w:type="dxa"/>
              <w:end w:w="80" w:type="dxa"/>
            </w:tcMar>
            <w:vAlign w:val="top"/>
          </w:tcPr>
          <w:p>
            <w:pPr>
              <w:spacing w:after="0"/>
            </w:pPr>
            <w:r>
              <w:rPr>
                <w:color w:val="12202B"/>
                <w:sz w:val="16"/>
              </w:rPr>
              <w:t>Regulated retention/legal hold controls.</w:t>
            </w:r>
          </w:p>
        </w:tc>
      </w:tr>
    </w:tbl>
    <w:p>
      <w:pPr>
        <w:pStyle w:val="Heading1"/>
      </w:pPr>
      <w:r>
        <w:t>10. Edge, Offline &amp; Synchronization Semantics</w:t>
      </w:r>
    </w:p>
    <w:p>
      <w:pPr>
        <w:pStyle w:val="ListBullet"/>
        <w:spacing w:after="60"/>
      </w:pPr>
      <w:r>
        <w:t>Edge nodes MAY perform capture quality, inference, normalization, RustGate evaluation, and local evidence commit where the deployment profile allows.</w:t>
      </w:r>
    </w:p>
    <w:p>
      <w:pPr>
        <w:pStyle w:val="ListBullet"/>
        <w:spacing w:after="60"/>
      </w:pPr>
      <w:r>
        <w:t>Offline operation MUST distinguish “locally authorized” from “cloud-confirmed” state. The audit record records which authority context was used.</w:t>
      </w:r>
    </w:p>
    <w:p>
      <w:pPr>
        <w:pStyle w:val="ListBullet"/>
        <w:spacing w:after="60"/>
      </w:pPr>
      <w:r>
        <w:t>Synchronization MUST be idempotent. Duplicate events are rejected or de-duplicated without changing the authoritative decision.</w:t>
      </w:r>
    </w:p>
    <w:p>
      <w:pPr>
        <w:pStyle w:val="ListBullet"/>
        <w:spacing w:after="60"/>
      </w:pPr>
      <w:r>
        <w:t>Stale policies, stale sensor data, clock uncertainty, chain discontinuity, or missing required signatures MUST produce an explicit policy outcome rather than implicit success.</w:t>
      </w:r>
    </w:p>
    <w:p>
      <w:pPr>
        <w:pStyle w:val="ListBullet"/>
        <w:spacing w:after="60"/>
      </w:pPr>
      <w:r>
        <w:t>Local deterministic decisioning removes dependency on round-trip cloud latency; it does not mean zero compute latency.</w:t>
      </w:r>
    </w:p>
    <w:p>
      <w:pPr>
        <w:pStyle w:val="Heading1"/>
      </w:pPr>
      <w:r>
        <w:t>11. Security Architecture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23B5A"/>
            <w:vAlign w:val="center"/>
            <w:tcMar>
              <w:top w:w="70" w:type="dxa"/>
              <w:start w:w="80" w:type="dxa"/>
              <w:bottom w:w="70" w:type="dxa"/>
              <w:end w:w="80" w:type="dxa"/>
            </w:tcMar>
          </w:tcPr>
          <w:p>
            <w:r>
              <w:rPr>
                <w:b/>
                <w:color w:val="FFFFFF"/>
                <w:sz w:val="17"/>
              </w:rPr>
              <w:t>Control Plane</w:t>
            </w:r>
          </w:p>
        </w:tc>
        <w:tc>
          <w:tcPr>
            <w:tcW w:type="dxa" w:w="8208"/>
            <w:shd w:fill="123B5A"/>
            <w:vAlign w:val="center"/>
            <w:tcMar>
              <w:top w:w="70" w:type="dxa"/>
              <w:start w:w="80" w:type="dxa"/>
              <w:bottom w:w="70" w:type="dxa"/>
              <w:end w:w="80" w:type="dxa"/>
            </w:tcMar>
          </w:tcPr>
          <w:p>
            <w:r>
              <w:rPr>
                <w:b/>
                <w:color w:val="FFFFFF"/>
                <w:sz w:val="17"/>
              </w:rPr>
              <w:t>Requirement</w:t>
            </w:r>
          </w:p>
        </w:tc>
      </w:tr>
      <w:tr>
        <w:tc>
          <w:tcPr>
            <w:tcW w:type="dxa" w:w="5184"/>
            <w:tcMar>
              <w:top w:w="70" w:type="dxa"/>
              <w:start w:w="80" w:type="dxa"/>
              <w:bottom w:w="70" w:type="dxa"/>
              <w:end w:w="80" w:type="dxa"/>
            </w:tcMar>
            <w:vAlign w:val="top"/>
          </w:tcPr>
          <w:p>
            <w:pPr>
              <w:spacing w:after="0"/>
            </w:pPr>
            <w:r>
              <w:rPr>
                <w:color w:val="12202B"/>
                <w:sz w:val="17"/>
              </w:rPr>
              <w:t>Identity</w:t>
            </w:r>
          </w:p>
        </w:tc>
        <w:tc>
          <w:tcPr>
            <w:tcW w:type="dxa" w:w="5184"/>
            <w:tcMar>
              <w:top w:w="70" w:type="dxa"/>
              <w:start w:w="80" w:type="dxa"/>
              <w:bottom w:w="70" w:type="dxa"/>
              <w:end w:w="80" w:type="dxa"/>
            </w:tcMar>
            <w:vAlign w:val="top"/>
          </w:tcPr>
          <w:p>
            <w:pPr>
              <w:spacing w:after="0"/>
            </w:pPr>
            <w:r>
              <w:rPr>
                <w:color w:val="12202B"/>
                <w:sz w:val="17"/>
              </w:rPr>
              <w:t>Entra ID/OIDC for users; managed identities/workload identities for services; least privilege RBAC.</w:t>
            </w:r>
          </w:p>
        </w:tc>
      </w:tr>
      <w:tr>
        <w:tc>
          <w:tcPr>
            <w:tcW w:type="dxa" w:w="5184"/>
            <w:tcMar>
              <w:top w:w="70" w:type="dxa"/>
              <w:start w:w="80" w:type="dxa"/>
              <w:bottom w:w="70" w:type="dxa"/>
              <w:end w:w="80" w:type="dxa"/>
            </w:tcMar>
            <w:vAlign w:val="top"/>
          </w:tcPr>
          <w:p>
            <w:pPr>
              <w:spacing w:after="0"/>
            </w:pPr>
            <w:r>
              <w:rPr>
                <w:color w:val="12202B"/>
                <w:sz w:val="17"/>
              </w:rPr>
              <w:t>Transport</w:t>
            </w:r>
          </w:p>
        </w:tc>
        <w:tc>
          <w:tcPr>
            <w:tcW w:type="dxa" w:w="5184"/>
            <w:tcMar>
              <w:top w:w="70" w:type="dxa"/>
              <w:start w:w="80" w:type="dxa"/>
              <w:bottom w:w="70" w:type="dxa"/>
              <w:end w:w="80" w:type="dxa"/>
            </w:tcMar>
            <w:vAlign w:val="top"/>
          </w:tcPr>
          <w:p>
            <w:pPr>
              <w:spacing w:after="0"/>
            </w:pPr>
            <w:r>
              <w:rPr>
                <w:color w:val="12202B"/>
                <w:sz w:val="17"/>
              </w:rPr>
              <w:t>TLS 1.2+ baseline; prefer current approved TLS profile; no SSLv2/SSLv3/TLS 1.0.</w:t>
            </w:r>
          </w:p>
        </w:tc>
      </w:tr>
      <w:tr>
        <w:tc>
          <w:tcPr>
            <w:tcW w:type="dxa" w:w="5184"/>
            <w:tcMar>
              <w:top w:w="70" w:type="dxa"/>
              <w:start w:w="80" w:type="dxa"/>
              <w:bottom w:w="70" w:type="dxa"/>
              <w:end w:w="80" w:type="dxa"/>
            </w:tcMar>
            <w:vAlign w:val="top"/>
          </w:tcPr>
          <w:p>
            <w:pPr>
              <w:spacing w:after="0"/>
            </w:pPr>
            <w:r>
              <w:rPr>
                <w:color w:val="12202B"/>
                <w:sz w:val="17"/>
              </w:rPr>
              <w:t>Secrets</w:t>
            </w:r>
          </w:p>
        </w:tc>
        <w:tc>
          <w:tcPr>
            <w:tcW w:type="dxa" w:w="5184"/>
            <w:tcMar>
              <w:top w:w="70" w:type="dxa"/>
              <w:start w:w="80" w:type="dxa"/>
              <w:bottom w:w="70" w:type="dxa"/>
              <w:end w:w="80" w:type="dxa"/>
            </w:tcMar>
            <w:vAlign w:val="top"/>
          </w:tcPr>
          <w:p>
            <w:pPr>
              <w:spacing w:after="0"/>
            </w:pPr>
            <w:r>
              <w:rPr>
                <w:color w:val="12202B"/>
                <w:sz w:val="17"/>
              </w:rPr>
              <w:t>No long-lived secrets in code/config repositories; use secret stores and rotation.</w:t>
            </w:r>
          </w:p>
        </w:tc>
      </w:tr>
      <w:tr>
        <w:tc>
          <w:tcPr>
            <w:tcW w:type="dxa" w:w="5184"/>
            <w:tcMar>
              <w:top w:w="70" w:type="dxa"/>
              <w:start w:w="80" w:type="dxa"/>
              <w:bottom w:w="70" w:type="dxa"/>
              <w:end w:w="80" w:type="dxa"/>
            </w:tcMar>
            <w:vAlign w:val="top"/>
          </w:tcPr>
          <w:p>
            <w:pPr>
              <w:spacing w:after="0"/>
            </w:pPr>
            <w:r>
              <w:rPr>
                <w:color w:val="12202B"/>
                <w:sz w:val="17"/>
              </w:rPr>
              <w:t>Container provenance</w:t>
            </w:r>
          </w:p>
        </w:tc>
        <w:tc>
          <w:tcPr>
            <w:tcW w:type="dxa" w:w="5184"/>
            <w:tcMar>
              <w:top w:w="70" w:type="dxa"/>
              <w:start w:w="80" w:type="dxa"/>
              <w:bottom w:w="70" w:type="dxa"/>
              <w:end w:w="80" w:type="dxa"/>
            </w:tcMar>
            <w:vAlign w:val="top"/>
          </w:tcPr>
          <w:p>
            <w:pPr>
              <w:spacing w:after="0"/>
            </w:pPr>
            <w:r>
              <w:rPr>
                <w:color w:val="12202B"/>
                <w:sz w:val="17"/>
              </w:rPr>
              <w:t>Scan images, sign releases, verify provenance before deployment; pin immutable image digests.</w:t>
            </w:r>
          </w:p>
        </w:tc>
      </w:tr>
      <w:tr>
        <w:tc>
          <w:tcPr>
            <w:tcW w:type="dxa" w:w="5184"/>
            <w:tcMar>
              <w:top w:w="70" w:type="dxa"/>
              <w:start w:w="80" w:type="dxa"/>
              <w:bottom w:w="70" w:type="dxa"/>
              <w:end w:w="80" w:type="dxa"/>
            </w:tcMar>
            <w:vAlign w:val="top"/>
          </w:tcPr>
          <w:p>
            <w:pPr>
              <w:spacing w:after="0"/>
            </w:pPr>
            <w:r>
              <w:rPr>
                <w:color w:val="12202B"/>
                <w:sz w:val="17"/>
              </w:rPr>
              <w:t>Network</w:t>
            </w:r>
          </w:p>
        </w:tc>
        <w:tc>
          <w:tcPr>
            <w:tcW w:type="dxa" w:w="5184"/>
            <w:tcMar>
              <w:top w:w="70" w:type="dxa"/>
              <w:start w:w="80" w:type="dxa"/>
              <w:bottom w:w="70" w:type="dxa"/>
              <w:end w:w="80" w:type="dxa"/>
            </w:tcMar>
            <w:vAlign w:val="top"/>
          </w:tcPr>
          <w:p>
            <w:pPr>
              <w:spacing w:after="0"/>
            </w:pPr>
            <w:r>
              <w:rPr>
                <w:color w:val="12202B"/>
                <w:sz w:val="17"/>
              </w:rPr>
              <w:t>Private endpoints/network policies for data stores where required; ingress/egress explicitly controlled.</w:t>
            </w:r>
          </w:p>
        </w:tc>
      </w:tr>
      <w:tr>
        <w:tc>
          <w:tcPr>
            <w:tcW w:type="dxa" w:w="5184"/>
            <w:tcMar>
              <w:top w:w="70" w:type="dxa"/>
              <w:start w:w="80" w:type="dxa"/>
              <w:bottom w:w="70" w:type="dxa"/>
              <w:end w:w="80" w:type="dxa"/>
            </w:tcMar>
            <w:vAlign w:val="top"/>
          </w:tcPr>
          <w:p>
            <w:pPr>
              <w:spacing w:after="0"/>
            </w:pPr>
            <w:r>
              <w:rPr>
                <w:color w:val="12202B"/>
                <w:sz w:val="17"/>
              </w:rPr>
              <w:t>Application authorization</w:t>
            </w:r>
          </w:p>
        </w:tc>
        <w:tc>
          <w:tcPr>
            <w:tcW w:type="dxa" w:w="5184"/>
            <w:tcMar>
              <w:top w:w="70" w:type="dxa"/>
              <w:start w:w="80" w:type="dxa"/>
              <w:bottom w:w="70" w:type="dxa"/>
              <w:end w:w="80" w:type="dxa"/>
            </w:tcMar>
            <w:vAlign w:val="top"/>
          </w:tcPr>
          <w:p>
            <w:pPr>
              <w:spacing w:after="0"/>
            </w:pPr>
            <w:r>
              <w:rPr>
                <w:color w:val="12202B"/>
                <w:sz w:val="17"/>
              </w:rPr>
              <w:t>Authorization is server-side and tenant-aware; do not trust client role/tenant assertions without verification.</w:t>
            </w:r>
          </w:p>
        </w:tc>
      </w:tr>
      <w:tr>
        <w:tc>
          <w:tcPr>
            <w:tcW w:type="dxa" w:w="5184"/>
            <w:tcMar>
              <w:top w:w="70" w:type="dxa"/>
              <w:start w:w="80" w:type="dxa"/>
              <w:bottom w:w="70" w:type="dxa"/>
              <w:end w:w="80" w:type="dxa"/>
            </w:tcMar>
            <w:vAlign w:val="top"/>
          </w:tcPr>
          <w:p>
            <w:pPr>
              <w:spacing w:after="0"/>
            </w:pPr>
            <w:r>
              <w:rPr>
                <w:color w:val="12202B"/>
                <w:sz w:val="17"/>
              </w:rPr>
              <w:t>Fail-closed paths</w:t>
            </w:r>
          </w:p>
        </w:tc>
        <w:tc>
          <w:tcPr>
            <w:tcW w:type="dxa" w:w="5184"/>
            <w:tcMar>
              <w:top w:w="70" w:type="dxa"/>
              <w:start w:w="80" w:type="dxa"/>
              <w:bottom w:w="70" w:type="dxa"/>
              <w:end w:w="80" w:type="dxa"/>
            </w:tcMar>
            <w:vAlign w:val="top"/>
          </w:tcPr>
          <w:p>
            <w:pPr>
              <w:spacing w:after="0"/>
            </w:pPr>
            <w:r>
              <w:rPr>
                <w:color w:val="12202B"/>
                <w:sz w:val="17"/>
              </w:rPr>
              <w:t>Malformed, stale, unsigned (when required), or unverifiable decision inputs route to DENY/REVIEW/QUARANTINE per policy.</w:t>
            </w:r>
          </w:p>
        </w:tc>
      </w:tr>
      <w:tr>
        <w:tc>
          <w:tcPr>
            <w:tcW w:type="dxa" w:w="5184"/>
            <w:tcMar>
              <w:top w:w="70" w:type="dxa"/>
              <w:start w:w="80" w:type="dxa"/>
              <w:bottom w:w="70" w:type="dxa"/>
              <w:end w:w="80" w:type="dxa"/>
            </w:tcMar>
            <w:vAlign w:val="top"/>
          </w:tcPr>
          <w:p>
            <w:pPr>
              <w:spacing w:after="0"/>
            </w:pPr>
            <w:r>
              <w:rPr>
                <w:color w:val="12202B"/>
                <w:sz w:val="17"/>
              </w:rPr>
              <w:t>Audit</w:t>
            </w:r>
          </w:p>
        </w:tc>
        <w:tc>
          <w:tcPr>
            <w:tcW w:type="dxa" w:w="5184"/>
            <w:tcMar>
              <w:top w:w="70" w:type="dxa"/>
              <w:start w:w="80" w:type="dxa"/>
              <w:bottom w:w="70" w:type="dxa"/>
              <w:end w:w="80" w:type="dxa"/>
            </w:tcMar>
            <w:vAlign w:val="top"/>
          </w:tcPr>
          <w:p>
            <w:pPr>
              <w:spacing w:after="0"/>
            </w:pPr>
            <w:r>
              <w:rPr>
                <w:color w:val="12202B"/>
                <w:sz w:val="17"/>
              </w:rPr>
              <w:t>Security-relevant policy changes, key events, deployment promotions, and failed verification attempts are retained as governed events.</w:t>
            </w:r>
          </w:p>
        </w:tc>
      </w:tr>
    </w:tbl>
    <w:p>
      <w:pPr>
        <w:pStyle w:val="Heading1"/>
      </w:pPr>
      <w:r>
        <w:t>12. Observability &amp; SLO Model</w:t>
      </w:r>
    </w:p>
    <w:p>
      <w:r>
        <w:t>Operational telemetry measures health; it does not determine policy truth. Metrics SHOULD be tagged by deployment profile, engine version, policy version, device class, and tenant without exposing sensitive content.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shd w:fill="123B5A"/>
            <w:vAlign w:val="center"/>
            <w:tcMar>
              <w:top w:w="70" w:type="dxa"/>
              <w:start w:w="80" w:type="dxa"/>
              <w:bottom w:w="70" w:type="dxa"/>
              <w:end w:w="80" w:type="dxa"/>
            </w:tcMar>
          </w:tcPr>
          <w:p>
            <w:r>
              <w:rPr>
                <w:b/>
                <w:color w:val="FFFFFF"/>
                <w:sz w:val="16"/>
              </w:rPr>
              <w:t>Metric Family</w:t>
            </w:r>
          </w:p>
        </w:tc>
        <w:tc>
          <w:tcPr>
            <w:tcW w:type="dxa" w:w="3816"/>
            <w:shd w:fill="123B5A"/>
            <w:vAlign w:val="center"/>
            <w:tcMar>
              <w:top w:w="70" w:type="dxa"/>
              <w:start w:w="80" w:type="dxa"/>
              <w:bottom w:w="70" w:type="dxa"/>
              <w:end w:w="80" w:type="dxa"/>
            </w:tcMar>
          </w:tcPr>
          <w:p>
            <w:r>
              <w:rPr>
                <w:b/>
                <w:color w:val="FFFFFF"/>
                <w:sz w:val="16"/>
              </w:rPr>
              <w:t>Examples</w:t>
            </w:r>
          </w:p>
        </w:tc>
        <w:tc>
          <w:tcPr>
            <w:tcW w:type="dxa" w:w="4896"/>
            <w:shd w:fill="123B5A"/>
            <w:vAlign w:val="center"/>
            <w:tcMar>
              <w:top w:w="70" w:type="dxa"/>
              <w:start w:w="80" w:type="dxa"/>
              <w:bottom w:w="70" w:type="dxa"/>
              <w:end w:w="80" w:type="dxa"/>
            </w:tcMar>
          </w:tcPr>
          <w:p>
            <w:r>
              <w:rPr>
                <w:b/>
                <w:color w:val="FFFFFF"/>
                <w:sz w:val="16"/>
              </w:rPr>
              <w:t>Interpretation</w:t>
            </w:r>
          </w:p>
        </w:tc>
      </w:tr>
      <w:tr>
        <w:tc>
          <w:tcPr>
            <w:tcW w:type="dxa" w:w="3456"/>
            <w:tcMar>
              <w:top w:w="70" w:type="dxa"/>
              <w:start w:w="80" w:type="dxa"/>
              <w:bottom w:w="70" w:type="dxa"/>
              <w:end w:w="80" w:type="dxa"/>
            </w:tcMar>
            <w:vAlign w:val="top"/>
          </w:tcPr>
          <w:p>
            <w:pPr>
              <w:spacing w:after="0"/>
            </w:pPr>
            <w:r>
              <w:rPr>
                <w:color w:val="12202B"/>
                <w:sz w:val="16"/>
              </w:rPr>
              <w:t>Latency</w:t>
            </w:r>
          </w:p>
        </w:tc>
        <w:tc>
          <w:tcPr>
            <w:tcW w:type="dxa" w:w="3456"/>
            <w:tcMar>
              <w:top w:w="70" w:type="dxa"/>
              <w:start w:w="80" w:type="dxa"/>
              <w:bottom w:w="70" w:type="dxa"/>
              <w:end w:w="80" w:type="dxa"/>
            </w:tcMar>
            <w:vAlign w:val="top"/>
          </w:tcPr>
          <w:p>
            <w:pPr>
              <w:spacing w:after="0"/>
            </w:pPr>
            <w:r>
              <w:rPr>
                <w:color w:val="12202B"/>
                <w:sz w:val="16"/>
              </w:rPr>
              <w:t>capture→observation, inference, normalization, RustGate eval, commit, downstream actuation</w:t>
            </w:r>
          </w:p>
        </w:tc>
        <w:tc>
          <w:tcPr>
            <w:tcW w:type="dxa" w:w="3456"/>
            <w:tcMar>
              <w:top w:w="70" w:type="dxa"/>
              <w:start w:w="80" w:type="dxa"/>
              <w:bottom w:w="70" w:type="dxa"/>
              <w:end w:w="80" w:type="dxa"/>
            </w:tcMar>
            <w:vAlign w:val="top"/>
          </w:tcPr>
          <w:p>
            <w:pPr>
              <w:spacing w:after="0"/>
            </w:pPr>
            <w:r>
              <w:rPr>
                <w:color w:val="12202B"/>
                <w:sz w:val="16"/>
              </w:rPr>
              <w:t>Report component and percentile; avoid collapsing unrelated timings.</w:t>
            </w:r>
          </w:p>
        </w:tc>
      </w:tr>
      <w:tr>
        <w:tc>
          <w:tcPr>
            <w:tcW w:type="dxa" w:w="3456"/>
            <w:tcMar>
              <w:top w:w="70" w:type="dxa"/>
              <w:start w:w="80" w:type="dxa"/>
              <w:bottom w:w="70" w:type="dxa"/>
              <w:end w:w="80" w:type="dxa"/>
            </w:tcMar>
            <w:vAlign w:val="top"/>
          </w:tcPr>
          <w:p>
            <w:pPr>
              <w:spacing w:after="0"/>
            </w:pPr>
            <w:r>
              <w:rPr>
                <w:color w:val="12202B"/>
                <w:sz w:val="16"/>
              </w:rPr>
              <w:t>Reliability</w:t>
            </w:r>
          </w:p>
        </w:tc>
        <w:tc>
          <w:tcPr>
            <w:tcW w:type="dxa" w:w="3456"/>
            <w:tcMar>
              <w:top w:w="70" w:type="dxa"/>
              <w:start w:w="80" w:type="dxa"/>
              <w:bottom w:w="70" w:type="dxa"/>
              <w:end w:w="80" w:type="dxa"/>
            </w:tcMar>
            <w:vAlign w:val="top"/>
          </w:tcPr>
          <w:p>
            <w:pPr>
              <w:spacing w:after="0"/>
            </w:pPr>
            <w:r>
              <w:rPr>
                <w:color w:val="12202B"/>
                <w:sz w:val="16"/>
              </w:rPr>
              <w:t>packet loss, sync retries, queue depth, error rate</w:t>
            </w:r>
          </w:p>
        </w:tc>
        <w:tc>
          <w:tcPr>
            <w:tcW w:type="dxa" w:w="3456"/>
            <w:tcMar>
              <w:top w:w="70" w:type="dxa"/>
              <w:start w:w="80" w:type="dxa"/>
              <w:bottom w:w="70" w:type="dxa"/>
              <w:end w:w="80" w:type="dxa"/>
            </w:tcMar>
            <w:vAlign w:val="top"/>
          </w:tcPr>
          <w:p>
            <w:pPr>
              <w:spacing w:after="0"/>
            </w:pPr>
            <w:r>
              <w:rPr>
                <w:color w:val="12202B"/>
                <w:sz w:val="16"/>
              </w:rPr>
              <w:t>Separate network transport from decision correctness.</w:t>
            </w:r>
          </w:p>
        </w:tc>
      </w:tr>
      <w:tr>
        <w:tc>
          <w:tcPr>
            <w:tcW w:type="dxa" w:w="3456"/>
            <w:tcMar>
              <w:top w:w="70" w:type="dxa"/>
              <w:start w:w="80" w:type="dxa"/>
              <w:bottom w:w="70" w:type="dxa"/>
              <w:end w:w="80" w:type="dxa"/>
            </w:tcMar>
            <w:vAlign w:val="top"/>
          </w:tcPr>
          <w:p>
            <w:pPr>
              <w:spacing w:after="0"/>
            </w:pPr>
            <w:r>
              <w:rPr>
                <w:color w:val="12202B"/>
                <w:sz w:val="16"/>
              </w:rPr>
              <w:t>Determinism</w:t>
            </w:r>
          </w:p>
        </w:tc>
        <w:tc>
          <w:tcPr>
            <w:tcW w:type="dxa" w:w="3456"/>
            <w:tcMar>
              <w:top w:w="70" w:type="dxa"/>
              <w:start w:w="80" w:type="dxa"/>
              <w:bottom w:w="70" w:type="dxa"/>
              <w:end w:w="80" w:type="dxa"/>
            </w:tcMar>
            <w:vAlign w:val="top"/>
          </w:tcPr>
          <w:p>
            <w:pPr>
              <w:spacing w:after="0"/>
            </w:pPr>
            <w:r>
              <w:rPr>
                <w:color w:val="12202B"/>
                <w:sz w:val="16"/>
              </w:rPr>
              <w:t>replay match rate, golden-vector pass rate</w:t>
            </w:r>
          </w:p>
        </w:tc>
        <w:tc>
          <w:tcPr>
            <w:tcW w:type="dxa" w:w="3456"/>
            <w:tcMar>
              <w:top w:w="70" w:type="dxa"/>
              <w:start w:w="80" w:type="dxa"/>
              <w:bottom w:w="70" w:type="dxa"/>
              <w:end w:w="80" w:type="dxa"/>
            </w:tcMar>
            <w:vAlign w:val="top"/>
          </w:tcPr>
          <w:p>
            <w:pPr>
              <w:spacing w:after="0"/>
            </w:pPr>
            <w:r>
              <w:rPr>
                <w:color w:val="12202B"/>
                <w:sz w:val="16"/>
              </w:rPr>
              <w:t>Should be 100% for a controlled deterministic replay suite; any mismatch is an integrity defect.</w:t>
            </w:r>
          </w:p>
        </w:tc>
      </w:tr>
      <w:tr>
        <w:tc>
          <w:tcPr>
            <w:tcW w:type="dxa" w:w="3456"/>
            <w:tcMar>
              <w:top w:w="70" w:type="dxa"/>
              <w:start w:w="80" w:type="dxa"/>
              <w:bottom w:w="70" w:type="dxa"/>
              <w:end w:w="80" w:type="dxa"/>
            </w:tcMar>
            <w:vAlign w:val="top"/>
          </w:tcPr>
          <w:p>
            <w:pPr>
              <w:spacing w:after="0"/>
            </w:pPr>
            <w:r>
              <w:rPr>
                <w:color w:val="12202B"/>
                <w:sz w:val="16"/>
              </w:rPr>
              <w:t>Model quality</w:t>
            </w:r>
          </w:p>
        </w:tc>
        <w:tc>
          <w:tcPr>
            <w:tcW w:type="dxa" w:w="3456"/>
            <w:tcMar>
              <w:top w:w="70" w:type="dxa"/>
              <w:start w:w="80" w:type="dxa"/>
              <w:bottom w:w="70" w:type="dxa"/>
              <w:end w:w="80" w:type="dxa"/>
            </w:tcMar>
            <w:vAlign w:val="top"/>
          </w:tcPr>
          <w:p>
            <w:pPr>
              <w:spacing w:after="0"/>
            </w:pPr>
            <w:r>
              <w:rPr>
                <w:color w:val="12202B"/>
                <w:sz w:val="16"/>
              </w:rPr>
              <w:t>precision/recall, OCR CER/WER, calibration, false reject/accept</w:t>
            </w:r>
          </w:p>
        </w:tc>
        <w:tc>
          <w:tcPr>
            <w:tcW w:type="dxa" w:w="3456"/>
            <w:tcMar>
              <w:top w:w="70" w:type="dxa"/>
              <w:start w:w="80" w:type="dxa"/>
              <w:bottom w:w="70" w:type="dxa"/>
              <w:end w:w="80" w:type="dxa"/>
            </w:tcMar>
            <w:vAlign w:val="top"/>
          </w:tcPr>
          <w:p>
            <w:pPr>
              <w:spacing w:after="0"/>
            </w:pPr>
            <w:r>
              <w:rPr>
                <w:color w:val="12202B"/>
                <w:sz w:val="16"/>
              </w:rPr>
              <w:t>Separate from policy determinism.</w:t>
            </w:r>
          </w:p>
        </w:tc>
      </w:tr>
      <w:tr>
        <w:tc>
          <w:tcPr>
            <w:tcW w:type="dxa" w:w="3456"/>
            <w:tcMar>
              <w:top w:w="70" w:type="dxa"/>
              <w:start w:w="80" w:type="dxa"/>
              <w:bottom w:w="70" w:type="dxa"/>
              <w:end w:w="80" w:type="dxa"/>
            </w:tcMar>
            <w:vAlign w:val="top"/>
          </w:tcPr>
          <w:p>
            <w:pPr>
              <w:spacing w:after="0"/>
            </w:pPr>
            <w:r>
              <w:rPr>
                <w:color w:val="12202B"/>
                <w:sz w:val="16"/>
              </w:rPr>
              <w:t>Evidence integrity</w:t>
            </w:r>
          </w:p>
        </w:tc>
        <w:tc>
          <w:tcPr>
            <w:tcW w:type="dxa" w:w="3456"/>
            <w:tcMar>
              <w:top w:w="70" w:type="dxa"/>
              <w:start w:w="80" w:type="dxa"/>
              <w:bottom w:w="70" w:type="dxa"/>
              <w:end w:w="80" w:type="dxa"/>
            </w:tcMar>
            <w:vAlign w:val="top"/>
          </w:tcPr>
          <w:p>
            <w:pPr>
              <w:spacing w:after="0"/>
            </w:pPr>
            <w:r>
              <w:rPr>
                <w:color w:val="12202B"/>
                <w:sz w:val="16"/>
              </w:rPr>
              <w:t>signature verify rate, chain continuity, hash mismatch count</w:t>
            </w:r>
          </w:p>
        </w:tc>
        <w:tc>
          <w:tcPr>
            <w:tcW w:type="dxa" w:w="3456"/>
            <w:tcMar>
              <w:top w:w="70" w:type="dxa"/>
              <w:start w:w="80" w:type="dxa"/>
              <w:bottom w:w="70" w:type="dxa"/>
              <w:end w:w="80" w:type="dxa"/>
            </w:tcMar>
            <w:vAlign w:val="top"/>
          </w:tcPr>
          <w:p>
            <w:pPr>
              <w:spacing w:after="0"/>
            </w:pPr>
            <w:r>
              <w:rPr>
                <w:color w:val="12202B"/>
                <w:sz w:val="16"/>
              </w:rPr>
              <w:t>Cryptographic/evidence health.</w:t>
            </w:r>
          </w:p>
        </w:tc>
      </w:tr>
      <w:tr>
        <w:tc>
          <w:tcPr>
            <w:tcW w:type="dxa" w:w="3456"/>
            <w:tcMar>
              <w:top w:w="70" w:type="dxa"/>
              <w:start w:w="80" w:type="dxa"/>
              <w:bottom w:w="70" w:type="dxa"/>
              <w:end w:w="80" w:type="dxa"/>
            </w:tcMar>
            <w:vAlign w:val="top"/>
          </w:tcPr>
          <w:p>
            <w:pPr>
              <w:spacing w:after="0"/>
            </w:pPr>
            <w:r>
              <w:rPr>
                <w:color w:val="12202B"/>
                <w:sz w:val="16"/>
              </w:rPr>
              <w:t>Security</w:t>
            </w:r>
          </w:p>
        </w:tc>
        <w:tc>
          <w:tcPr>
            <w:tcW w:type="dxa" w:w="3456"/>
            <w:tcMar>
              <w:top w:w="70" w:type="dxa"/>
              <w:start w:w="80" w:type="dxa"/>
              <w:bottom w:w="70" w:type="dxa"/>
              <w:end w:w="80" w:type="dxa"/>
            </w:tcMar>
            <w:vAlign w:val="top"/>
          </w:tcPr>
          <w:p>
            <w:pPr>
              <w:spacing w:after="0"/>
            </w:pPr>
            <w:r>
              <w:rPr>
                <w:color w:val="12202B"/>
                <w:sz w:val="16"/>
              </w:rPr>
              <w:t>auth failures, denied cross-tenant access, image verification failures</w:t>
            </w:r>
          </w:p>
        </w:tc>
        <w:tc>
          <w:tcPr>
            <w:tcW w:type="dxa" w:w="3456"/>
            <w:tcMar>
              <w:top w:w="70" w:type="dxa"/>
              <w:start w:w="80" w:type="dxa"/>
              <w:bottom w:w="70" w:type="dxa"/>
              <w:end w:w="80" w:type="dxa"/>
            </w:tcMar>
            <w:vAlign w:val="top"/>
          </w:tcPr>
          <w:p>
            <w:pPr>
              <w:spacing w:after="0"/>
            </w:pPr>
            <w:r>
              <w:rPr>
                <w:color w:val="12202B"/>
                <w:sz w:val="16"/>
              </w:rPr>
              <w:t>Detect control-plane violations.</w:t>
            </w:r>
          </w:p>
        </w:tc>
      </w:tr>
    </w:tbl>
    <w:p>
      <w:pPr>
        <w:pStyle w:val="Heading1"/>
      </w:pPr>
      <w:r>
        <w:t>13. Product &amp; Vertical Boundaries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shd w:fill="123B5A"/>
            <w:vAlign w:val="center"/>
            <w:tcMar>
              <w:top w:w="70" w:type="dxa"/>
              <w:start w:w="80" w:type="dxa"/>
              <w:bottom w:w="70" w:type="dxa"/>
              <w:end w:w="80" w:type="dxa"/>
            </w:tcMar>
          </w:tcPr>
          <w:p>
            <w:r>
              <w:rPr>
                <w:b/>
                <w:color w:val="FFFFFF"/>
                <w:sz w:val="16"/>
              </w:rPr>
              <w:t>Program</w:t>
            </w:r>
          </w:p>
        </w:tc>
        <w:tc>
          <w:tcPr>
            <w:tcW w:type="dxa" w:w="1944"/>
            <w:shd w:fill="123B5A"/>
            <w:vAlign w:val="center"/>
            <w:tcMar>
              <w:top w:w="70" w:type="dxa"/>
              <w:start w:w="80" w:type="dxa"/>
              <w:bottom w:w="70" w:type="dxa"/>
              <w:end w:w="80" w:type="dxa"/>
            </w:tcMar>
          </w:tcPr>
          <w:p>
            <w:r>
              <w:rPr>
                <w:b/>
                <w:color w:val="FFFFFF"/>
                <w:sz w:val="16"/>
              </w:rPr>
              <w:t>Domain</w:t>
            </w:r>
          </w:p>
        </w:tc>
        <w:tc>
          <w:tcPr>
            <w:tcW w:type="dxa" w:w="3096"/>
            <w:shd w:fill="123B5A"/>
            <w:vAlign w:val="center"/>
            <w:tcMar>
              <w:top w:w="70" w:type="dxa"/>
              <w:start w:w="80" w:type="dxa"/>
              <w:bottom w:w="70" w:type="dxa"/>
              <w:end w:w="80" w:type="dxa"/>
            </w:tcMar>
          </w:tcPr>
          <w:p>
            <w:r>
              <w:rPr>
                <w:b/>
                <w:color w:val="FFFFFF"/>
                <w:sz w:val="16"/>
              </w:rPr>
              <w:t>Shared Core</w:t>
            </w:r>
          </w:p>
        </w:tc>
        <w:tc>
          <w:tcPr>
            <w:tcW w:type="dxa" w:w="3672"/>
            <w:shd w:fill="123B5A"/>
            <w:vAlign w:val="center"/>
            <w:tcMar>
              <w:top w:w="70" w:type="dxa"/>
              <w:start w:w="80" w:type="dxa"/>
              <w:bottom w:w="70" w:type="dxa"/>
              <w:end w:w="80" w:type="dxa"/>
            </w:tcMar>
          </w:tcPr>
          <w:p>
            <w:r>
              <w:rPr>
                <w:b/>
                <w:color w:val="FFFFFF"/>
                <w:sz w:val="16"/>
              </w:rPr>
              <w:t>Vertical-Specific Content</w:t>
            </w:r>
          </w:p>
        </w:tc>
      </w:tr>
      <w:tr>
        <w:tc>
          <w:tcPr>
            <w:tcW w:type="dxa" w:w="2592"/>
            <w:tcMar>
              <w:top w:w="70" w:type="dxa"/>
              <w:start w:w="80" w:type="dxa"/>
              <w:bottom w:w="70" w:type="dxa"/>
              <w:end w:w="80" w:type="dxa"/>
            </w:tcMar>
            <w:vAlign w:val="top"/>
          </w:tcPr>
          <w:p>
            <w:pPr>
              <w:spacing w:after="0"/>
            </w:pPr>
            <w:r>
              <w:rPr>
                <w:color w:val="12202B"/>
                <w:sz w:val="16"/>
              </w:rPr>
              <w:t>ShelfCat Retail</w:t>
            </w:r>
          </w:p>
        </w:tc>
        <w:tc>
          <w:tcPr>
            <w:tcW w:type="dxa" w:w="2592"/>
            <w:tcMar>
              <w:top w:w="70" w:type="dxa"/>
              <w:start w:w="80" w:type="dxa"/>
              <w:bottom w:w="70" w:type="dxa"/>
              <w:end w:w="80" w:type="dxa"/>
            </w:tcMar>
            <w:vAlign w:val="top"/>
          </w:tcPr>
          <w:p>
            <w:pPr>
              <w:spacing w:after="0"/>
            </w:pPr>
            <w:r>
              <w:rPr>
                <w:color w:val="12202B"/>
                <w:sz w:val="16"/>
              </w:rPr>
              <w:t>Retail shelf operations</w:t>
            </w:r>
          </w:p>
        </w:tc>
        <w:tc>
          <w:tcPr>
            <w:tcW w:type="dxa" w:w="2592"/>
            <w:tcMar>
              <w:top w:w="70" w:type="dxa"/>
              <w:start w:w="80" w:type="dxa"/>
              <w:bottom w:w="70" w:type="dxa"/>
              <w:end w:w="80" w:type="dxa"/>
            </w:tcMar>
            <w:vAlign w:val="top"/>
          </w:tcPr>
          <w:p>
            <w:pPr>
              <w:spacing w:after="0"/>
            </w:pPr>
            <w:r>
              <w:rPr>
                <w:color w:val="12202B"/>
                <w:sz w:val="16"/>
              </w:rPr>
              <w:t>Observation Envelope, quality gates, RustGate, evidence, sync</w:t>
            </w:r>
          </w:p>
        </w:tc>
        <w:tc>
          <w:tcPr>
            <w:tcW w:type="dxa" w:w="2592"/>
            <w:tcMar>
              <w:top w:w="70" w:type="dxa"/>
              <w:start w:w="80" w:type="dxa"/>
              <w:bottom w:w="70" w:type="dxa"/>
              <w:end w:w="80" w:type="dxa"/>
            </w:tcMar>
            <w:vAlign w:val="top"/>
          </w:tcPr>
          <w:p>
            <w:pPr>
              <w:spacing w:after="0"/>
            </w:pPr>
            <w:r>
              <w:rPr>
                <w:color w:val="12202B"/>
                <w:sz w:val="16"/>
              </w:rPr>
              <w:t>SKU/planogram classes, shelf geometry, OOS rules, ERP/POS/WMS actions</w:t>
            </w:r>
          </w:p>
        </w:tc>
      </w:tr>
      <w:tr>
        <w:tc>
          <w:tcPr>
            <w:tcW w:type="dxa" w:w="2592"/>
            <w:tcMar>
              <w:top w:w="70" w:type="dxa"/>
              <w:start w:w="80" w:type="dxa"/>
              <w:bottom w:w="70" w:type="dxa"/>
              <w:end w:w="80" w:type="dxa"/>
            </w:tcMar>
            <w:vAlign w:val="top"/>
          </w:tcPr>
          <w:p>
            <w:pPr>
              <w:spacing w:after="0"/>
            </w:pPr>
            <w:r>
              <w:rPr>
                <w:color w:val="12202B"/>
                <w:sz w:val="16"/>
              </w:rPr>
              <w:t>ShelfCat Lens</w:t>
            </w:r>
          </w:p>
        </w:tc>
        <w:tc>
          <w:tcPr>
            <w:tcW w:type="dxa" w:w="2592"/>
            <w:tcMar>
              <w:top w:w="70" w:type="dxa"/>
              <w:start w:w="80" w:type="dxa"/>
              <w:bottom w:w="70" w:type="dxa"/>
              <w:end w:w="80" w:type="dxa"/>
            </w:tcMar>
            <w:vAlign w:val="top"/>
          </w:tcPr>
          <w:p>
            <w:pPr>
              <w:spacing w:after="0"/>
            </w:pPr>
            <w:r>
              <w:rPr>
                <w:color w:val="12202B"/>
                <w:sz w:val="16"/>
              </w:rPr>
              <w:t>Voice/vision ingestion gate</w:t>
            </w:r>
          </w:p>
        </w:tc>
        <w:tc>
          <w:tcPr>
            <w:tcW w:type="dxa" w:w="2592"/>
            <w:tcMar>
              <w:top w:w="70" w:type="dxa"/>
              <w:start w:w="80" w:type="dxa"/>
              <w:bottom w:w="70" w:type="dxa"/>
              <w:end w:w="80" w:type="dxa"/>
            </w:tcMar>
            <w:vAlign w:val="top"/>
          </w:tcPr>
          <w:p>
            <w:pPr>
              <w:spacing w:after="0"/>
            </w:pPr>
            <w:r>
              <w:rPr>
                <w:color w:val="12202B"/>
                <w:sz w:val="16"/>
              </w:rPr>
              <w:t>Quality-gate mechanics, provenance, RustGate where policy applies</w:t>
            </w:r>
          </w:p>
        </w:tc>
        <w:tc>
          <w:tcPr>
            <w:tcW w:type="dxa" w:w="2592"/>
            <w:tcMar>
              <w:top w:w="70" w:type="dxa"/>
              <w:start w:w="80" w:type="dxa"/>
              <w:bottom w:w="70" w:type="dxa"/>
              <w:end w:w="80" w:type="dxa"/>
            </w:tcMar>
            <w:vAlign w:val="top"/>
          </w:tcPr>
          <w:p>
            <w:pPr>
              <w:spacing w:after="0"/>
            </w:pPr>
            <w:r>
              <w:rPr>
                <w:color w:val="12202B"/>
                <w:sz w:val="16"/>
              </w:rPr>
              <w:t>VAD/acoustic gates, camera quality, STT/vision routing; separate from Retail naming</w:t>
            </w:r>
          </w:p>
        </w:tc>
      </w:tr>
      <w:tr>
        <w:tc>
          <w:tcPr>
            <w:tcW w:type="dxa" w:w="2592"/>
            <w:tcMar>
              <w:top w:w="70" w:type="dxa"/>
              <w:start w:w="80" w:type="dxa"/>
              <w:bottom w:w="70" w:type="dxa"/>
              <w:end w:w="80" w:type="dxa"/>
            </w:tcMar>
            <w:vAlign w:val="top"/>
          </w:tcPr>
          <w:p>
            <w:pPr>
              <w:spacing w:after="0"/>
            </w:pPr>
            <w:r>
              <w:rPr>
                <w:color w:val="12202B"/>
                <w:sz w:val="16"/>
              </w:rPr>
              <w:t>MedEdge / Sentinel</w:t>
            </w:r>
          </w:p>
        </w:tc>
        <w:tc>
          <w:tcPr>
            <w:tcW w:type="dxa" w:w="2592"/>
            <w:tcMar>
              <w:top w:w="70" w:type="dxa"/>
              <w:start w:w="80" w:type="dxa"/>
              <w:bottom w:w="70" w:type="dxa"/>
              <w:end w:w="80" w:type="dxa"/>
            </w:tcMar>
            <w:vAlign w:val="top"/>
          </w:tcPr>
          <w:p>
            <w:pPr>
              <w:spacing w:after="0"/>
            </w:pPr>
            <w:r>
              <w:rPr>
                <w:color w:val="12202B"/>
                <w:sz w:val="16"/>
              </w:rPr>
              <w:t>Healthcare operational safety</w:t>
            </w:r>
          </w:p>
        </w:tc>
        <w:tc>
          <w:tcPr>
            <w:tcW w:type="dxa" w:w="2592"/>
            <w:tcMar>
              <w:top w:w="70" w:type="dxa"/>
              <w:start w:w="80" w:type="dxa"/>
              <w:bottom w:w="70" w:type="dxa"/>
              <w:end w:w="80" w:type="dxa"/>
            </w:tcMar>
            <w:vAlign w:val="top"/>
          </w:tcPr>
          <w:p>
            <w:pPr>
              <w:spacing w:after="0"/>
            </w:pPr>
            <w:r>
              <w:rPr>
                <w:color w:val="12202B"/>
                <w:sz w:val="16"/>
              </w:rPr>
              <w:t>Shared core and evidence</w:t>
            </w:r>
          </w:p>
        </w:tc>
        <w:tc>
          <w:tcPr>
            <w:tcW w:type="dxa" w:w="2592"/>
            <w:tcMar>
              <w:top w:w="70" w:type="dxa"/>
              <w:start w:w="80" w:type="dxa"/>
              <w:bottom w:w="70" w:type="dxa"/>
              <w:end w:w="80" w:type="dxa"/>
            </w:tcMar>
            <w:vAlign w:val="top"/>
          </w:tcPr>
          <w:p>
            <w:pPr>
              <w:spacing w:after="0"/>
            </w:pPr>
            <w:r>
              <w:rPr>
                <w:color w:val="12202B"/>
                <w:sz w:val="16"/>
              </w:rPr>
              <w:t>PPE/room/equipment operational checks; not diagnostic unless separately validated/regulated</w:t>
            </w:r>
          </w:p>
        </w:tc>
      </w:tr>
      <w:tr>
        <w:tc>
          <w:tcPr>
            <w:tcW w:type="dxa" w:w="2592"/>
            <w:tcMar>
              <w:top w:w="70" w:type="dxa"/>
              <w:start w:w="80" w:type="dxa"/>
              <w:bottom w:w="70" w:type="dxa"/>
              <w:end w:w="80" w:type="dxa"/>
            </w:tcMar>
            <w:vAlign w:val="top"/>
          </w:tcPr>
          <w:p>
            <w:pPr>
              <w:spacing w:after="0"/>
            </w:pPr>
            <w:r>
              <w:rPr>
                <w:color w:val="12202B"/>
                <w:sz w:val="16"/>
              </w:rPr>
              <w:t>UtilitySight / PowerSave</w:t>
            </w:r>
          </w:p>
        </w:tc>
        <w:tc>
          <w:tcPr>
            <w:tcW w:type="dxa" w:w="2592"/>
            <w:tcMar>
              <w:top w:w="70" w:type="dxa"/>
              <w:start w:w="80" w:type="dxa"/>
              <w:bottom w:w="70" w:type="dxa"/>
              <w:end w:w="80" w:type="dxa"/>
            </w:tcMar>
            <w:vAlign w:val="top"/>
          </w:tcPr>
          <w:p>
            <w:pPr>
              <w:spacing w:after="0"/>
            </w:pPr>
            <w:r>
              <w:rPr>
                <w:color w:val="12202B"/>
                <w:sz w:val="16"/>
              </w:rPr>
              <w:t>Utilities/buildings/energy</w:t>
            </w:r>
          </w:p>
        </w:tc>
        <w:tc>
          <w:tcPr>
            <w:tcW w:type="dxa" w:w="2592"/>
            <w:tcMar>
              <w:top w:w="70" w:type="dxa"/>
              <w:start w:w="80" w:type="dxa"/>
              <w:bottom w:w="70" w:type="dxa"/>
              <w:end w:w="80" w:type="dxa"/>
            </w:tcMar>
            <w:vAlign w:val="top"/>
          </w:tcPr>
          <w:p>
            <w:pPr>
              <w:spacing w:after="0"/>
            </w:pPr>
            <w:r>
              <w:rPr>
                <w:color w:val="12202B"/>
                <w:sz w:val="16"/>
              </w:rPr>
              <w:t>Shared core</w:t>
            </w:r>
          </w:p>
        </w:tc>
        <w:tc>
          <w:tcPr>
            <w:tcW w:type="dxa" w:w="2592"/>
            <w:tcMar>
              <w:top w:w="70" w:type="dxa"/>
              <w:start w:w="80" w:type="dxa"/>
              <w:bottom w:w="70" w:type="dxa"/>
              <w:end w:w="80" w:type="dxa"/>
            </w:tcMar>
            <w:vAlign w:val="top"/>
          </w:tcPr>
          <w:p>
            <w:pPr>
              <w:spacing w:after="0"/>
            </w:pPr>
            <w:r>
              <w:rPr>
                <w:color w:val="12202B"/>
                <w:sz w:val="16"/>
              </w:rPr>
              <w:t>Asset/OCR/thermal/occupancy rules, BMS/EMS/SCADA/GIS integrations</w:t>
            </w:r>
          </w:p>
        </w:tc>
      </w:tr>
      <w:tr>
        <w:tc>
          <w:tcPr>
            <w:tcW w:type="dxa" w:w="2592"/>
            <w:tcMar>
              <w:top w:w="70" w:type="dxa"/>
              <w:start w:w="80" w:type="dxa"/>
              <w:bottom w:w="70" w:type="dxa"/>
              <w:end w:w="80" w:type="dxa"/>
            </w:tcMar>
            <w:vAlign w:val="top"/>
          </w:tcPr>
          <w:p>
            <w:pPr>
              <w:spacing w:after="0"/>
            </w:pPr>
            <w:r>
              <w:rPr>
                <w:color w:val="12202B"/>
                <w:sz w:val="16"/>
              </w:rPr>
              <w:t>RoboGate</w:t>
            </w:r>
          </w:p>
        </w:tc>
        <w:tc>
          <w:tcPr>
            <w:tcW w:type="dxa" w:w="2592"/>
            <w:tcMar>
              <w:top w:w="70" w:type="dxa"/>
              <w:start w:w="80" w:type="dxa"/>
              <w:bottom w:w="70" w:type="dxa"/>
              <w:end w:w="80" w:type="dxa"/>
            </w:tcMar>
            <w:vAlign w:val="top"/>
          </w:tcPr>
          <w:p>
            <w:pPr>
              <w:spacing w:after="0"/>
            </w:pPr>
            <w:r>
              <w:rPr>
                <w:color w:val="12202B"/>
                <w:sz w:val="16"/>
              </w:rPr>
              <w:t>Robotics</w:t>
            </w:r>
          </w:p>
        </w:tc>
        <w:tc>
          <w:tcPr>
            <w:tcW w:type="dxa" w:w="2592"/>
            <w:tcMar>
              <w:top w:w="70" w:type="dxa"/>
              <w:start w:w="80" w:type="dxa"/>
              <w:bottom w:w="70" w:type="dxa"/>
              <w:end w:w="80" w:type="dxa"/>
            </w:tcMar>
            <w:vAlign w:val="top"/>
          </w:tcPr>
          <w:p>
            <w:pPr>
              <w:spacing w:after="0"/>
            </w:pPr>
            <w:r>
              <w:rPr>
                <w:color w:val="12202B"/>
                <w:sz w:val="16"/>
              </w:rPr>
              <w:t>Shared core</w:t>
            </w:r>
          </w:p>
        </w:tc>
        <w:tc>
          <w:tcPr>
            <w:tcW w:type="dxa" w:w="2592"/>
            <w:tcMar>
              <w:top w:w="70" w:type="dxa"/>
              <w:start w:w="80" w:type="dxa"/>
              <w:bottom w:w="70" w:type="dxa"/>
              <w:end w:w="80" w:type="dxa"/>
            </w:tcMar>
            <w:vAlign w:val="top"/>
          </w:tcPr>
          <w:p>
            <w:pPr>
              <w:spacing w:after="0"/>
            </w:pPr>
            <w:r>
              <w:rPr>
                <w:color w:val="12202B"/>
                <w:sz w:val="16"/>
              </w:rPr>
              <w:t>Motion envelope, obstacle/state telemetry, zone/action authorization</w:t>
            </w:r>
          </w:p>
        </w:tc>
      </w:tr>
      <w:tr>
        <w:tc>
          <w:tcPr>
            <w:tcW w:type="dxa" w:w="2592"/>
            <w:tcMar>
              <w:top w:w="70" w:type="dxa"/>
              <w:start w:w="80" w:type="dxa"/>
              <w:bottom w:w="70" w:type="dxa"/>
              <w:end w:w="80" w:type="dxa"/>
            </w:tcMar>
            <w:vAlign w:val="top"/>
          </w:tcPr>
          <w:p>
            <w:pPr>
              <w:spacing w:after="0"/>
            </w:pPr>
            <w:r>
              <w:rPr>
                <w:color w:val="12202B"/>
                <w:sz w:val="16"/>
              </w:rPr>
              <w:t>FinSight</w:t>
            </w:r>
          </w:p>
        </w:tc>
        <w:tc>
          <w:tcPr>
            <w:tcW w:type="dxa" w:w="2592"/>
            <w:tcMar>
              <w:top w:w="70" w:type="dxa"/>
              <w:start w:w="80" w:type="dxa"/>
              <w:bottom w:w="70" w:type="dxa"/>
              <w:end w:w="80" w:type="dxa"/>
            </w:tcMar>
            <w:vAlign w:val="top"/>
          </w:tcPr>
          <w:p>
            <w:pPr>
              <w:spacing w:after="0"/>
            </w:pPr>
            <w:r>
              <w:rPr>
                <w:color w:val="12202B"/>
                <w:sz w:val="16"/>
              </w:rPr>
              <w:t>Finance/collateral operations</w:t>
            </w:r>
          </w:p>
        </w:tc>
        <w:tc>
          <w:tcPr>
            <w:tcW w:type="dxa" w:w="2592"/>
            <w:tcMar>
              <w:top w:w="70" w:type="dxa"/>
              <w:start w:w="80" w:type="dxa"/>
              <w:bottom w:w="70" w:type="dxa"/>
              <w:end w:w="80" w:type="dxa"/>
            </w:tcMar>
            <w:vAlign w:val="top"/>
          </w:tcPr>
          <w:p>
            <w:pPr>
              <w:spacing w:after="0"/>
            </w:pPr>
            <w:r>
              <w:rPr>
                <w:color w:val="12202B"/>
                <w:sz w:val="16"/>
              </w:rPr>
              <w:t>Shared core</w:t>
            </w:r>
          </w:p>
        </w:tc>
        <w:tc>
          <w:tcPr>
            <w:tcW w:type="dxa" w:w="2592"/>
            <w:tcMar>
              <w:top w:w="70" w:type="dxa"/>
              <w:start w:w="80" w:type="dxa"/>
              <w:bottom w:w="70" w:type="dxa"/>
              <w:end w:w="80" w:type="dxa"/>
            </w:tcMar>
            <w:vAlign w:val="top"/>
          </w:tcPr>
          <w:p>
            <w:pPr>
              <w:spacing w:after="0"/>
            </w:pPr>
            <w:r>
              <w:rPr>
                <w:color w:val="12202B"/>
                <w:sz w:val="16"/>
              </w:rPr>
              <w:t>Asset identity, condition evidence, chain of custody, loan/risk workflow integration</w:t>
            </w:r>
          </w:p>
        </w:tc>
      </w:tr>
    </w:tbl>
    <w:p>
      <w:pPr>
        <w:pStyle w:val="Heading1"/>
      </w:pPr>
      <w:r>
        <w:t>14. Claims &amp; Evidence Discipline</w:t>
      </w:r>
    </w:p>
    <w:p>
      <w:r>
        <w:t>The uploaded sector comparison diagram contains useful positioning but mixes measured metrics, modeled benefits, and unsupported universal claims. The following register is authoritative until stronger evidence is attached.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shd w:fill="123B5A"/>
            <w:vAlign w:val="center"/>
            <w:tcMar>
              <w:top w:w="70" w:type="dxa"/>
              <w:start w:w="80" w:type="dxa"/>
              <w:bottom w:w="70" w:type="dxa"/>
              <w:end w:w="80" w:type="dxa"/>
            </w:tcMar>
          </w:tcPr>
          <w:p>
            <w:r>
              <w:rPr>
                <w:b/>
                <w:color w:val="FFFFFF"/>
                <w:sz w:val="16"/>
              </w:rPr>
              <w:t>Claim</w:t>
            </w:r>
          </w:p>
        </w:tc>
        <w:tc>
          <w:tcPr>
            <w:tcW w:type="dxa" w:w="2232"/>
            <w:shd w:fill="123B5A"/>
            <w:vAlign w:val="center"/>
            <w:tcMar>
              <w:top w:w="70" w:type="dxa"/>
              <w:start w:w="80" w:type="dxa"/>
              <w:bottom w:w="70" w:type="dxa"/>
              <w:end w:w="80" w:type="dxa"/>
            </w:tcMar>
          </w:tcPr>
          <w:p>
            <w:r>
              <w:rPr>
                <w:b/>
                <w:color w:val="FFFFFF"/>
                <w:sz w:val="16"/>
              </w:rPr>
              <w:t>Classification</w:t>
            </w:r>
          </w:p>
        </w:tc>
        <w:tc>
          <w:tcPr>
            <w:tcW w:type="dxa" w:w="5472"/>
            <w:shd w:fill="123B5A"/>
            <w:vAlign w:val="center"/>
            <w:tcMar>
              <w:top w:w="70" w:type="dxa"/>
              <w:start w:w="80" w:type="dxa"/>
              <w:bottom w:w="70" w:type="dxa"/>
              <w:end w:w="80" w:type="dxa"/>
            </w:tcMar>
          </w:tcPr>
          <w:p>
            <w:r>
              <w:rPr>
                <w:b/>
                <w:color w:val="FFFFFF"/>
                <w:sz w:val="16"/>
              </w:rPr>
              <w:t>Authoritative Wording / Action</w:t>
            </w:r>
          </w:p>
        </w:tc>
      </w:tr>
      <w:tr>
        <w:tc>
          <w:tcPr>
            <w:tcW w:type="dxa" w:w="3456"/>
            <w:tcMar>
              <w:top w:w="70" w:type="dxa"/>
              <w:start w:w="80" w:type="dxa"/>
              <w:bottom w:w="70" w:type="dxa"/>
              <w:end w:w="80" w:type="dxa"/>
            </w:tcMar>
            <w:vAlign w:val="top"/>
          </w:tcPr>
          <w:p>
            <w:pPr>
              <w:spacing w:after="0"/>
            </w:pPr>
            <w:r>
              <w:rPr>
                <w:color w:val="12202B"/>
                <w:sz w:val="16"/>
              </w:rPr>
              <w:t>Retail 95–120 ms end-to-end</w:t>
            </w:r>
          </w:p>
        </w:tc>
        <w:tc>
          <w:tcPr>
            <w:tcW w:type="dxa" w:w="3456"/>
            <w:tcMar>
              <w:top w:w="70" w:type="dxa"/>
              <w:start w:w="80" w:type="dxa"/>
              <w:bottom w:w="70" w:type="dxa"/>
              <w:end w:w="80" w:type="dxa"/>
            </w:tcMar>
            <w:vAlign w:val="top"/>
          </w:tcPr>
          <w:p>
            <w:pPr>
              <w:spacing w:after="0"/>
            </w:pPr>
            <w:r>
              <w:rPr>
                <w:color w:val="12202B"/>
                <w:sz w:val="16"/>
              </w:rPr>
              <w:t>Measured example</w:t>
            </w:r>
          </w:p>
        </w:tc>
        <w:tc>
          <w:tcPr>
            <w:tcW w:type="dxa" w:w="3456"/>
            <w:tcMar>
              <w:top w:w="70" w:type="dxa"/>
              <w:start w:w="80" w:type="dxa"/>
              <w:bottom w:w="70" w:type="dxa"/>
              <w:end w:w="80" w:type="dxa"/>
            </w:tcMar>
            <w:vAlign w:val="top"/>
          </w:tcPr>
          <w:p>
            <w:pPr>
              <w:spacing w:after="0"/>
            </w:pPr>
            <w:r>
              <w:rPr>
                <w:color w:val="12202B"/>
                <w:sz w:val="16"/>
              </w:rPr>
              <w:t>Use only with the referenced hardware/load/test profile and percentile definition.</w:t>
            </w:r>
          </w:p>
        </w:tc>
      </w:tr>
      <w:tr>
        <w:tc>
          <w:tcPr>
            <w:tcW w:type="dxa" w:w="3456"/>
            <w:tcMar>
              <w:top w:w="70" w:type="dxa"/>
              <w:start w:w="80" w:type="dxa"/>
              <w:bottom w:w="70" w:type="dxa"/>
              <w:end w:w="80" w:type="dxa"/>
            </w:tcMar>
            <w:vAlign w:val="top"/>
          </w:tcPr>
          <w:p>
            <w:pPr>
              <w:spacing w:after="0"/>
            </w:pPr>
            <w:r>
              <w:rPr>
                <w:color w:val="12202B"/>
                <w:sz w:val="16"/>
              </w:rPr>
              <w:t>Robotics mesh 18.7 ms avg; 32.4 ms P95</w:t>
            </w:r>
          </w:p>
        </w:tc>
        <w:tc>
          <w:tcPr>
            <w:tcW w:type="dxa" w:w="3456"/>
            <w:tcMar>
              <w:top w:w="70" w:type="dxa"/>
              <w:start w:w="80" w:type="dxa"/>
              <w:bottom w:w="70" w:type="dxa"/>
              <w:end w:w="80" w:type="dxa"/>
            </w:tcMar>
            <w:vAlign w:val="top"/>
          </w:tcPr>
          <w:p>
            <w:pPr>
              <w:spacing w:after="0"/>
            </w:pPr>
            <w:r>
              <w:rPr>
                <w:color w:val="12202B"/>
                <w:sz w:val="16"/>
              </w:rPr>
              <w:t>Measured example</w:t>
            </w:r>
          </w:p>
        </w:tc>
        <w:tc>
          <w:tcPr>
            <w:tcW w:type="dxa" w:w="3456"/>
            <w:tcMar>
              <w:top w:w="70" w:type="dxa"/>
              <w:start w:w="80" w:type="dxa"/>
              <w:bottom w:w="70" w:type="dxa"/>
              <w:end w:w="80" w:type="dxa"/>
            </w:tcMar>
            <w:vAlign w:val="top"/>
          </w:tcPr>
          <w:p>
            <w:pPr>
              <w:spacing w:after="0"/>
            </w:pPr>
            <w:r>
              <w:rPr>
                <w:color w:val="12202B"/>
                <w:sz w:val="16"/>
              </w:rPr>
              <w:t>Describe as mesh latency in the referenced test, not total action latency.</w:t>
            </w:r>
          </w:p>
        </w:tc>
      </w:tr>
      <w:tr>
        <w:tc>
          <w:tcPr>
            <w:tcW w:type="dxa" w:w="3456"/>
            <w:tcMar>
              <w:top w:w="70" w:type="dxa"/>
              <w:start w:w="80" w:type="dxa"/>
              <w:bottom w:w="70" w:type="dxa"/>
              <w:end w:w="80" w:type="dxa"/>
            </w:tcMar>
            <w:vAlign w:val="top"/>
          </w:tcPr>
          <w:p>
            <w:pPr>
              <w:spacing w:after="0"/>
            </w:pPr>
            <w:r>
              <w:rPr>
                <w:color w:val="12202B"/>
                <w:sz w:val="16"/>
              </w:rPr>
              <w:t>2.8 ms RustGate policy evaluation</w:t>
            </w:r>
          </w:p>
        </w:tc>
        <w:tc>
          <w:tcPr>
            <w:tcW w:type="dxa" w:w="3456"/>
            <w:tcMar>
              <w:top w:w="70" w:type="dxa"/>
              <w:start w:w="80" w:type="dxa"/>
              <w:bottom w:w="70" w:type="dxa"/>
              <w:end w:w="80" w:type="dxa"/>
            </w:tcMar>
            <w:vAlign w:val="top"/>
          </w:tcPr>
          <w:p>
            <w:pPr>
              <w:spacing w:after="0"/>
            </w:pPr>
            <w:r>
              <w:rPr>
                <w:color w:val="12202B"/>
                <w:sz w:val="16"/>
              </w:rPr>
              <w:t>Measured example</w:t>
            </w:r>
          </w:p>
        </w:tc>
        <w:tc>
          <w:tcPr>
            <w:tcW w:type="dxa" w:w="3456"/>
            <w:tcMar>
              <w:top w:w="70" w:type="dxa"/>
              <w:start w:w="80" w:type="dxa"/>
              <w:bottom w:w="70" w:type="dxa"/>
              <w:end w:w="80" w:type="dxa"/>
            </w:tcMar>
            <w:vAlign w:val="top"/>
          </w:tcPr>
          <w:p>
            <w:pPr>
              <w:spacing w:after="0"/>
            </w:pPr>
            <w:r>
              <w:rPr>
                <w:color w:val="12202B"/>
                <w:sz w:val="16"/>
              </w:rPr>
              <w:t>Describe as an observed run/profile; expand validation across policies/hardware before generalization.</w:t>
            </w:r>
          </w:p>
        </w:tc>
      </w:tr>
      <w:tr>
        <w:tc>
          <w:tcPr>
            <w:tcW w:type="dxa" w:w="3456"/>
            <w:tcMar>
              <w:top w:w="70" w:type="dxa"/>
              <w:start w:w="80" w:type="dxa"/>
              <w:bottom w:w="70" w:type="dxa"/>
              <w:end w:w="80" w:type="dxa"/>
            </w:tcMar>
            <w:vAlign w:val="top"/>
          </w:tcPr>
          <w:p>
            <w:pPr>
              <w:spacing w:after="0"/>
            </w:pPr>
            <w:r>
              <w:rPr>
                <w:color w:val="12202B"/>
                <w:sz w:val="16"/>
              </w:rPr>
              <w:t>~98% network reduction</w:t>
            </w:r>
          </w:p>
        </w:tc>
        <w:tc>
          <w:tcPr>
            <w:tcW w:type="dxa" w:w="3456"/>
            <w:tcMar>
              <w:top w:w="70" w:type="dxa"/>
              <w:start w:w="80" w:type="dxa"/>
              <w:bottom w:w="70" w:type="dxa"/>
              <w:end w:w="80" w:type="dxa"/>
            </w:tcMar>
            <w:vAlign w:val="top"/>
          </w:tcPr>
          <w:p>
            <w:pPr>
              <w:spacing w:after="0"/>
            </w:pPr>
            <w:r>
              <w:rPr>
                <w:color w:val="12202B"/>
                <w:sz w:val="16"/>
              </w:rPr>
              <w:t>Modeled/example until benchmark attached</w:t>
            </w:r>
          </w:p>
        </w:tc>
        <w:tc>
          <w:tcPr>
            <w:tcW w:type="dxa" w:w="3456"/>
            <w:tcMar>
              <w:top w:w="70" w:type="dxa"/>
              <w:start w:w="80" w:type="dxa"/>
              <w:bottom w:w="70" w:type="dxa"/>
              <w:end w:w="80" w:type="dxa"/>
            </w:tcMar>
            <w:vAlign w:val="top"/>
          </w:tcPr>
          <w:p>
            <w:pPr>
              <w:spacing w:after="0"/>
            </w:pPr>
            <w:r>
              <w:rPr>
                <w:color w:val="12202B"/>
                <w:sz w:val="16"/>
              </w:rPr>
              <w:t>State that event-first/local filtering can materially reduce upstream data; publish a percentage only with dataset and byte accounting.</w:t>
            </w:r>
          </w:p>
        </w:tc>
      </w:tr>
      <w:tr>
        <w:tc>
          <w:tcPr>
            <w:tcW w:type="dxa" w:w="3456"/>
            <w:tcMar>
              <w:top w:w="70" w:type="dxa"/>
              <w:start w:w="80" w:type="dxa"/>
              <w:bottom w:w="70" w:type="dxa"/>
              <w:end w:w="80" w:type="dxa"/>
            </w:tcMar>
            <w:vAlign w:val="top"/>
          </w:tcPr>
          <w:p>
            <w:pPr>
              <w:spacing w:after="0"/>
            </w:pPr>
            <w:r>
              <w:rPr>
                <w:color w:val="12202B"/>
                <w:sz w:val="16"/>
              </w:rPr>
              <w:t>≥99.5% deterministic validation accuracy</w:t>
            </w:r>
          </w:p>
        </w:tc>
        <w:tc>
          <w:tcPr>
            <w:tcW w:type="dxa" w:w="3456"/>
            <w:tcMar>
              <w:top w:w="70" w:type="dxa"/>
              <w:start w:w="80" w:type="dxa"/>
              <w:bottom w:w="70" w:type="dxa"/>
              <w:end w:w="80" w:type="dxa"/>
            </w:tcMar>
            <w:vAlign w:val="top"/>
          </w:tcPr>
          <w:p>
            <w:pPr>
              <w:spacing w:after="0"/>
            </w:pPr>
            <w:r>
              <w:rPr>
                <w:color w:val="12202B"/>
                <w:sz w:val="16"/>
              </w:rPr>
              <w:t>Invalid framing</w:t>
            </w:r>
          </w:p>
        </w:tc>
        <w:tc>
          <w:tcPr>
            <w:tcW w:type="dxa" w:w="3456"/>
            <w:tcMar>
              <w:top w:w="70" w:type="dxa"/>
              <w:start w:w="80" w:type="dxa"/>
              <w:bottom w:w="70" w:type="dxa"/>
              <w:end w:w="80" w:type="dxa"/>
            </w:tcMar>
            <w:vAlign w:val="top"/>
          </w:tcPr>
          <w:p>
            <w:pPr>
              <w:spacing w:after="0"/>
            </w:pPr>
            <w:r>
              <w:rPr>
                <w:color w:val="12202B"/>
                <w:sz w:val="16"/>
              </w:rPr>
              <w:t>Replace with deterministic replay reproducibility plus separate model/workflow accuracy metrics.</w:t>
            </w:r>
          </w:p>
        </w:tc>
      </w:tr>
      <w:tr>
        <w:tc>
          <w:tcPr>
            <w:tcW w:type="dxa" w:w="3456"/>
            <w:tcMar>
              <w:top w:w="70" w:type="dxa"/>
              <w:start w:w="80" w:type="dxa"/>
              <w:bottom w:w="70" w:type="dxa"/>
              <w:end w:w="80" w:type="dxa"/>
            </w:tcMar>
            <w:vAlign w:val="top"/>
          </w:tcPr>
          <w:p>
            <w:pPr>
              <w:spacing w:after="0"/>
            </w:pPr>
            <w:r>
              <w:rPr>
                <w:color w:val="12202B"/>
                <w:sz w:val="16"/>
              </w:rPr>
              <w:t>No raw data transmission</w:t>
            </w:r>
          </w:p>
        </w:tc>
        <w:tc>
          <w:tcPr>
            <w:tcW w:type="dxa" w:w="3456"/>
            <w:tcMar>
              <w:top w:w="70" w:type="dxa"/>
              <w:start w:w="80" w:type="dxa"/>
              <w:bottom w:w="70" w:type="dxa"/>
              <w:end w:w="80" w:type="dxa"/>
            </w:tcMar>
            <w:vAlign w:val="top"/>
          </w:tcPr>
          <w:p>
            <w:pPr>
              <w:spacing w:after="0"/>
            </w:pPr>
            <w:r>
              <w:rPr>
                <w:color w:val="12202B"/>
                <w:sz w:val="16"/>
              </w:rPr>
              <w:t>Overbroad</w:t>
            </w:r>
          </w:p>
        </w:tc>
        <w:tc>
          <w:tcPr>
            <w:tcW w:type="dxa" w:w="3456"/>
            <w:tcMar>
              <w:top w:w="70" w:type="dxa"/>
              <w:start w:w="80" w:type="dxa"/>
              <w:bottom w:w="70" w:type="dxa"/>
              <w:end w:w="80" w:type="dxa"/>
            </w:tcMar>
            <w:vAlign w:val="top"/>
          </w:tcPr>
          <w:p>
            <w:pPr>
              <w:spacing w:after="0"/>
            </w:pPr>
            <w:r>
              <w:rPr>
                <w:color w:val="12202B"/>
                <w:sz w:val="16"/>
              </w:rPr>
              <w:t>State metadata-only/local-first is supported; raw evidence upload is policy controlled.</w:t>
            </w:r>
          </w:p>
        </w:tc>
      </w:tr>
      <w:tr>
        <w:tc>
          <w:tcPr>
            <w:tcW w:type="dxa" w:w="3456"/>
            <w:tcMar>
              <w:top w:w="70" w:type="dxa"/>
              <w:start w:w="80" w:type="dxa"/>
              <w:bottom w:w="70" w:type="dxa"/>
              <w:end w:w="80" w:type="dxa"/>
            </w:tcMar>
            <w:vAlign w:val="top"/>
          </w:tcPr>
          <w:p>
            <w:pPr>
              <w:spacing w:after="0"/>
            </w:pPr>
            <w:r>
              <w:rPr>
                <w:color w:val="12202B"/>
                <w:sz w:val="16"/>
              </w:rPr>
              <w:t>40–90% device energy reduction by sector</w:t>
            </w:r>
          </w:p>
        </w:tc>
        <w:tc>
          <w:tcPr>
            <w:tcW w:type="dxa" w:w="3456"/>
            <w:tcMar>
              <w:top w:w="70" w:type="dxa"/>
              <w:start w:w="80" w:type="dxa"/>
              <w:bottom w:w="70" w:type="dxa"/>
              <w:end w:w="80" w:type="dxa"/>
            </w:tcMar>
            <w:vAlign w:val="top"/>
          </w:tcPr>
          <w:p>
            <w:pPr>
              <w:spacing w:after="0"/>
            </w:pPr>
            <w:r>
              <w:rPr>
                <w:color w:val="12202B"/>
                <w:sz w:val="16"/>
              </w:rPr>
              <w:t>Unverified</w:t>
            </w:r>
          </w:p>
        </w:tc>
        <w:tc>
          <w:tcPr>
            <w:tcW w:type="dxa" w:w="3456"/>
            <w:tcMar>
              <w:top w:w="70" w:type="dxa"/>
              <w:start w:w="80" w:type="dxa"/>
              <w:bottom w:w="70" w:type="dxa"/>
              <w:end w:w="80" w:type="dxa"/>
            </w:tcMar>
            <w:vAlign w:val="top"/>
          </w:tcPr>
          <w:p>
            <w:pPr>
              <w:spacing w:after="0"/>
            </w:pPr>
            <w:r>
              <w:rPr>
                <w:color w:val="12202B"/>
                <w:sz w:val="16"/>
              </w:rPr>
              <w:t>Do not publish as universal. Require device, workload, duty-cycle, and baseline power measurement.</w:t>
            </w:r>
          </w:p>
        </w:tc>
      </w:tr>
      <w:tr>
        <w:tc>
          <w:tcPr>
            <w:tcW w:type="dxa" w:w="3456"/>
            <w:tcMar>
              <w:top w:w="70" w:type="dxa"/>
              <w:start w:w="80" w:type="dxa"/>
              <w:bottom w:w="70" w:type="dxa"/>
              <w:end w:w="80" w:type="dxa"/>
            </w:tcMar>
            <w:vAlign w:val="top"/>
          </w:tcPr>
          <w:p>
            <w:pPr>
              <w:spacing w:after="0"/>
            </w:pPr>
            <w:r>
              <w:rPr>
                <w:color w:val="12202B"/>
                <w:sz w:val="16"/>
              </w:rPr>
              <w:t>9,500–27,800 kWh/year facility savings</w:t>
            </w:r>
          </w:p>
        </w:tc>
        <w:tc>
          <w:tcPr>
            <w:tcW w:type="dxa" w:w="3456"/>
            <w:tcMar>
              <w:top w:w="70" w:type="dxa"/>
              <w:start w:w="80" w:type="dxa"/>
              <w:bottom w:w="70" w:type="dxa"/>
              <w:end w:w="80" w:type="dxa"/>
            </w:tcMar>
            <w:vAlign w:val="top"/>
          </w:tcPr>
          <w:p>
            <w:pPr>
              <w:spacing w:after="0"/>
            </w:pPr>
            <w:r>
              <w:rPr>
                <w:color w:val="12202B"/>
                <w:sz w:val="16"/>
              </w:rPr>
              <w:t>Unverified/modelled</w:t>
            </w:r>
          </w:p>
        </w:tc>
        <w:tc>
          <w:tcPr>
            <w:tcW w:type="dxa" w:w="3456"/>
            <w:tcMar>
              <w:top w:w="70" w:type="dxa"/>
              <w:start w:w="80" w:type="dxa"/>
              <w:bottom w:w="70" w:type="dxa"/>
              <w:end w:w="80" w:type="dxa"/>
            </w:tcMar>
            <w:vAlign w:val="top"/>
          </w:tcPr>
          <w:p>
            <w:pPr>
              <w:spacing w:after="0"/>
            </w:pPr>
            <w:r>
              <w:rPr>
                <w:color w:val="12202B"/>
                <w:sz w:val="16"/>
              </w:rPr>
              <w:t>Do not call typical without site baseline and measurement &amp; verification method.</w:t>
            </w:r>
          </w:p>
        </w:tc>
      </w:tr>
    </w:tbl>
    <w:p>
      <w:pPr>
        <w:pStyle w:val="Heading1"/>
      </w:pPr>
      <w:r>
        <w:t>15. Validation &amp; Release Gates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23B5A"/>
            <w:vAlign w:val="center"/>
            <w:tcMar>
              <w:top w:w="70" w:type="dxa"/>
              <w:start w:w="80" w:type="dxa"/>
              <w:bottom w:w="70" w:type="dxa"/>
              <w:end w:w="80" w:type="dxa"/>
            </w:tcMar>
          </w:tcPr>
          <w:p>
            <w:r>
              <w:rPr>
                <w:b/>
                <w:color w:val="FFFFFF"/>
                <w:sz w:val="17"/>
              </w:rPr>
              <w:t>Gate</w:t>
            </w:r>
          </w:p>
        </w:tc>
        <w:tc>
          <w:tcPr>
            <w:tcW w:type="dxa" w:w="8352"/>
            <w:shd w:fill="123B5A"/>
            <w:vAlign w:val="center"/>
            <w:tcMar>
              <w:top w:w="70" w:type="dxa"/>
              <w:start w:w="80" w:type="dxa"/>
              <w:bottom w:w="70" w:type="dxa"/>
              <w:end w:w="80" w:type="dxa"/>
            </w:tcMar>
          </w:tcPr>
          <w:p>
            <w:r>
              <w:rPr>
                <w:b/>
                <w:color w:val="FFFFFF"/>
                <w:sz w:val="17"/>
              </w:rPr>
              <w:t>Minimum Exit Criteria</w:t>
            </w:r>
          </w:p>
        </w:tc>
      </w:tr>
      <w:tr>
        <w:tc>
          <w:tcPr>
            <w:tcW w:type="dxa" w:w="5184"/>
            <w:tcMar>
              <w:top w:w="70" w:type="dxa"/>
              <w:start w:w="80" w:type="dxa"/>
              <w:bottom w:w="70" w:type="dxa"/>
              <w:end w:w="80" w:type="dxa"/>
            </w:tcMar>
            <w:vAlign w:val="top"/>
          </w:tcPr>
          <w:p>
            <w:pPr>
              <w:spacing w:after="0"/>
            </w:pPr>
            <w:r>
              <w:rPr>
                <w:color w:val="12202B"/>
                <w:sz w:val="17"/>
              </w:rPr>
              <w:t>Schema contract</w:t>
            </w:r>
          </w:p>
        </w:tc>
        <w:tc>
          <w:tcPr>
            <w:tcW w:type="dxa" w:w="5184"/>
            <w:tcMar>
              <w:top w:w="70" w:type="dxa"/>
              <w:start w:w="80" w:type="dxa"/>
              <w:bottom w:w="70" w:type="dxa"/>
              <w:end w:w="80" w:type="dxa"/>
            </w:tcMar>
            <w:vAlign w:val="top"/>
          </w:tcPr>
          <w:p>
            <w:pPr>
              <w:spacing w:after="0"/>
            </w:pPr>
            <w:r>
              <w:rPr>
                <w:color w:val="12202B"/>
                <w:sz w:val="17"/>
              </w:rPr>
              <w:t>Canonical serialization tests; backwards-compatibility decision; malformed input rejection.</w:t>
            </w:r>
          </w:p>
        </w:tc>
      </w:tr>
      <w:tr>
        <w:tc>
          <w:tcPr>
            <w:tcW w:type="dxa" w:w="5184"/>
            <w:tcMar>
              <w:top w:w="70" w:type="dxa"/>
              <w:start w:w="80" w:type="dxa"/>
              <w:bottom w:w="70" w:type="dxa"/>
              <w:end w:w="80" w:type="dxa"/>
            </w:tcMar>
            <w:vAlign w:val="top"/>
          </w:tcPr>
          <w:p>
            <w:pPr>
              <w:spacing w:after="0"/>
            </w:pPr>
            <w:r>
              <w:rPr>
                <w:color w:val="12202B"/>
                <w:sz w:val="17"/>
              </w:rPr>
              <w:t>Determinism</w:t>
            </w:r>
          </w:p>
        </w:tc>
        <w:tc>
          <w:tcPr>
            <w:tcW w:type="dxa" w:w="5184"/>
            <w:tcMar>
              <w:top w:w="70" w:type="dxa"/>
              <w:start w:w="80" w:type="dxa"/>
              <w:bottom w:w="70" w:type="dxa"/>
              <w:end w:w="80" w:type="dxa"/>
            </w:tcMar>
            <w:vAlign w:val="top"/>
          </w:tcPr>
          <w:p>
            <w:pPr>
              <w:spacing w:after="0"/>
            </w:pPr>
            <w:r>
              <w:rPr>
                <w:color w:val="12202B"/>
                <w:sz w:val="17"/>
              </w:rPr>
              <w:t>Golden vectors replay identically across repeated runs on the certified runtime profile.</w:t>
            </w:r>
          </w:p>
        </w:tc>
      </w:tr>
      <w:tr>
        <w:tc>
          <w:tcPr>
            <w:tcW w:type="dxa" w:w="5184"/>
            <w:tcMar>
              <w:top w:w="70" w:type="dxa"/>
              <w:start w:w="80" w:type="dxa"/>
              <w:bottom w:w="70" w:type="dxa"/>
              <w:end w:w="80" w:type="dxa"/>
            </w:tcMar>
            <w:vAlign w:val="top"/>
          </w:tcPr>
          <w:p>
            <w:pPr>
              <w:spacing w:after="0"/>
            </w:pPr>
            <w:r>
              <w:rPr>
                <w:color w:val="12202B"/>
                <w:sz w:val="17"/>
              </w:rPr>
              <w:t>Policy correctness</w:t>
            </w:r>
          </w:p>
        </w:tc>
        <w:tc>
          <w:tcPr>
            <w:tcW w:type="dxa" w:w="5184"/>
            <w:tcMar>
              <w:top w:w="70" w:type="dxa"/>
              <w:start w:w="80" w:type="dxa"/>
              <w:bottom w:w="70" w:type="dxa"/>
              <w:end w:w="80" w:type="dxa"/>
            </w:tcMar>
            <w:vAlign w:val="top"/>
          </w:tcPr>
          <w:p>
            <w:pPr>
              <w:spacing w:after="0"/>
            </w:pPr>
            <w:r>
              <w:rPr>
                <w:color w:val="12202B"/>
                <w:sz w:val="17"/>
              </w:rPr>
              <w:t>Boundary-condition tests, deny/allow/review reason-code verification, version-pinning tests.</w:t>
            </w:r>
          </w:p>
        </w:tc>
      </w:tr>
      <w:tr>
        <w:tc>
          <w:tcPr>
            <w:tcW w:type="dxa" w:w="5184"/>
            <w:tcMar>
              <w:top w:w="70" w:type="dxa"/>
              <w:start w:w="80" w:type="dxa"/>
              <w:bottom w:w="70" w:type="dxa"/>
              <w:end w:w="80" w:type="dxa"/>
            </w:tcMar>
            <w:vAlign w:val="top"/>
          </w:tcPr>
          <w:p>
            <w:pPr>
              <w:spacing w:after="0"/>
            </w:pPr>
            <w:r>
              <w:rPr>
                <w:color w:val="12202B"/>
                <w:sz w:val="17"/>
              </w:rPr>
              <w:t>Model quality</w:t>
            </w:r>
          </w:p>
        </w:tc>
        <w:tc>
          <w:tcPr>
            <w:tcW w:type="dxa" w:w="5184"/>
            <w:tcMar>
              <w:top w:w="70" w:type="dxa"/>
              <w:start w:w="80" w:type="dxa"/>
              <w:bottom w:w="70" w:type="dxa"/>
              <w:end w:w="80" w:type="dxa"/>
            </w:tcMar>
            <w:vAlign w:val="top"/>
          </w:tcPr>
          <w:p>
            <w:pPr>
              <w:spacing w:after="0"/>
            </w:pPr>
            <w:r>
              <w:rPr>
                <w:color w:val="12202B"/>
                <w:sz w:val="17"/>
              </w:rPr>
              <w:t>Labeled validation set with task-appropriate metrics, confidence calibration, drift baseline.</w:t>
            </w:r>
          </w:p>
        </w:tc>
      </w:tr>
      <w:tr>
        <w:tc>
          <w:tcPr>
            <w:tcW w:type="dxa" w:w="5184"/>
            <w:tcMar>
              <w:top w:w="70" w:type="dxa"/>
              <w:start w:w="80" w:type="dxa"/>
              <w:bottom w:w="70" w:type="dxa"/>
              <w:end w:w="80" w:type="dxa"/>
            </w:tcMar>
            <w:vAlign w:val="top"/>
          </w:tcPr>
          <w:p>
            <w:pPr>
              <w:spacing w:after="0"/>
            </w:pPr>
            <w:r>
              <w:rPr>
                <w:color w:val="12202B"/>
                <w:sz w:val="17"/>
              </w:rPr>
              <w:t>Security</w:t>
            </w:r>
          </w:p>
        </w:tc>
        <w:tc>
          <w:tcPr>
            <w:tcW w:type="dxa" w:w="5184"/>
            <w:tcMar>
              <w:top w:w="70" w:type="dxa"/>
              <w:start w:w="80" w:type="dxa"/>
              <w:bottom w:w="70" w:type="dxa"/>
              <w:end w:w="80" w:type="dxa"/>
            </w:tcMar>
            <w:vAlign w:val="top"/>
          </w:tcPr>
          <w:p>
            <w:pPr>
              <w:spacing w:after="0"/>
            </w:pPr>
            <w:r>
              <w:rPr>
                <w:color w:val="12202B"/>
                <w:sz w:val="17"/>
              </w:rPr>
              <w:t>SAST/dependency/container scan; key/secret checks; authz and cross-tenant negative tests.</w:t>
            </w:r>
          </w:p>
        </w:tc>
      </w:tr>
      <w:tr>
        <w:tc>
          <w:tcPr>
            <w:tcW w:type="dxa" w:w="5184"/>
            <w:tcMar>
              <w:top w:w="70" w:type="dxa"/>
              <w:start w:w="80" w:type="dxa"/>
              <w:bottom w:w="70" w:type="dxa"/>
              <w:end w:w="80" w:type="dxa"/>
            </w:tcMar>
            <w:vAlign w:val="top"/>
          </w:tcPr>
          <w:p>
            <w:pPr>
              <w:spacing w:after="0"/>
            </w:pPr>
            <w:r>
              <w:rPr>
                <w:color w:val="12202B"/>
                <w:sz w:val="17"/>
              </w:rPr>
              <w:t>Evidence</w:t>
            </w:r>
          </w:p>
        </w:tc>
        <w:tc>
          <w:tcPr>
            <w:tcW w:type="dxa" w:w="5184"/>
            <w:tcMar>
              <w:top w:w="70" w:type="dxa"/>
              <w:start w:w="80" w:type="dxa"/>
              <w:bottom w:w="70" w:type="dxa"/>
              <w:end w:w="80" w:type="dxa"/>
            </w:tcMar>
            <w:vAlign w:val="top"/>
          </w:tcPr>
          <w:p>
            <w:pPr>
              <w:spacing w:after="0"/>
            </w:pPr>
            <w:r>
              <w:rPr>
                <w:color w:val="12202B"/>
                <w:sz w:val="17"/>
              </w:rPr>
              <w:t>Hash/signature verification, chain-break detection, key rotation test, replay reconstruction.</w:t>
            </w:r>
          </w:p>
        </w:tc>
      </w:tr>
      <w:tr>
        <w:tc>
          <w:tcPr>
            <w:tcW w:type="dxa" w:w="5184"/>
            <w:tcMar>
              <w:top w:w="70" w:type="dxa"/>
              <w:start w:w="80" w:type="dxa"/>
              <w:bottom w:w="70" w:type="dxa"/>
              <w:end w:w="80" w:type="dxa"/>
            </w:tcMar>
            <w:vAlign w:val="top"/>
          </w:tcPr>
          <w:p>
            <w:pPr>
              <w:spacing w:after="0"/>
            </w:pPr>
            <w:r>
              <w:rPr>
                <w:color w:val="12202B"/>
                <w:sz w:val="17"/>
              </w:rPr>
              <w:t>Performance</w:t>
            </w:r>
          </w:p>
        </w:tc>
        <w:tc>
          <w:tcPr>
            <w:tcW w:type="dxa" w:w="5184"/>
            <w:tcMar>
              <w:top w:w="70" w:type="dxa"/>
              <w:start w:w="80" w:type="dxa"/>
              <w:bottom w:w="70" w:type="dxa"/>
              <w:end w:w="80" w:type="dxa"/>
            </w:tcMar>
            <w:vAlign w:val="top"/>
          </w:tcPr>
          <w:p>
            <w:pPr>
              <w:spacing w:after="0"/>
            </w:pPr>
            <w:r>
              <w:rPr>
                <w:color w:val="12202B"/>
                <w:sz w:val="17"/>
              </w:rPr>
              <w:t>Latency percentiles and resource use under defined hardware, concurrency, and load.</w:t>
            </w:r>
          </w:p>
        </w:tc>
      </w:tr>
      <w:tr>
        <w:tc>
          <w:tcPr>
            <w:tcW w:type="dxa" w:w="5184"/>
            <w:tcMar>
              <w:top w:w="70" w:type="dxa"/>
              <w:start w:w="80" w:type="dxa"/>
              <w:bottom w:w="70" w:type="dxa"/>
              <w:end w:w="80" w:type="dxa"/>
            </w:tcMar>
            <w:vAlign w:val="top"/>
          </w:tcPr>
          <w:p>
            <w:pPr>
              <w:spacing w:after="0"/>
            </w:pPr>
            <w:r>
              <w:rPr>
                <w:color w:val="12202B"/>
                <w:sz w:val="17"/>
              </w:rPr>
              <w:t>Resilience</w:t>
            </w:r>
          </w:p>
        </w:tc>
        <w:tc>
          <w:tcPr>
            <w:tcW w:type="dxa" w:w="5184"/>
            <w:tcMar>
              <w:top w:w="70" w:type="dxa"/>
              <w:start w:w="80" w:type="dxa"/>
              <w:bottom w:w="70" w:type="dxa"/>
              <w:end w:w="80" w:type="dxa"/>
            </w:tcMar>
            <w:vAlign w:val="top"/>
          </w:tcPr>
          <w:p>
            <w:pPr>
              <w:spacing w:after="0"/>
            </w:pPr>
            <w:r>
              <w:rPr>
                <w:color w:val="12202B"/>
                <w:sz w:val="17"/>
              </w:rPr>
              <w:t>Offline mode, sync retry/idempotency, stale policy/data, clock skew, degraded dependency tests.</w:t>
            </w:r>
          </w:p>
        </w:tc>
      </w:tr>
      <w:tr>
        <w:tc>
          <w:tcPr>
            <w:tcW w:type="dxa" w:w="5184"/>
            <w:tcMar>
              <w:top w:w="70" w:type="dxa"/>
              <w:start w:w="80" w:type="dxa"/>
              <w:bottom w:w="70" w:type="dxa"/>
              <w:end w:w="80" w:type="dxa"/>
            </w:tcMar>
            <w:vAlign w:val="top"/>
          </w:tcPr>
          <w:p>
            <w:pPr>
              <w:spacing w:after="0"/>
            </w:pPr>
            <w:r>
              <w:rPr>
                <w:color w:val="12202B"/>
                <w:sz w:val="17"/>
              </w:rPr>
              <w:t>Operational readiness</w:t>
            </w:r>
          </w:p>
        </w:tc>
        <w:tc>
          <w:tcPr>
            <w:tcW w:type="dxa" w:w="5184"/>
            <w:tcMar>
              <w:top w:w="70" w:type="dxa"/>
              <w:start w:w="80" w:type="dxa"/>
              <w:bottom w:w="70" w:type="dxa"/>
              <w:end w:w="80" w:type="dxa"/>
            </w:tcMar>
            <w:vAlign w:val="top"/>
          </w:tcPr>
          <w:p>
            <w:pPr>
              <w:spacing w:after="0"/>
            </w:pPr>
            <w:r>
              <w:rPr>
                <w:color w:val="12202B"/>
                <w:sz w:val="17"/>
              </w:rPr>
              <w:t>Dashboards, alerts, incident runbook, rollback, release provenance, support ownership.</w:t>
            </w:r>
          </w:p>
        </w:tc>
      </w:tr>
      <w:tr>
        <w:tc>
          <w:tcPr>
            <w:tcW w:type="dxa" w:w="5184"/>
            <w:tcMar>
              <w:top w:w="70" w:type="dxa"/>
              <w:start w:w="80" w:type="dxa"/>
              <w:bottom w:w="70" w:type="dxa"/>
              <w:end w:w="80" w:type="dxa"/>
            </w:tcMar>
            <w:vAlign w:val="top"/>
          </w:tcPr>
          <w:p>
            <w:pPr>
              <w:spacing w:after="0"/>
            </w:pPr>
            <w:r>
              <w:rPr>
                <w:color w:val="12202B"/>
                <w:sz w:val="17"/>
              </w:rPr>
              <w:t>Domain acceptance</w:t>
            </w:r>
          </w:p>
        </w:tc>
        <w:tc>
          <w:tcPr>
            <w:tcW w:type="dxa" w:w="5184"/>
            <w:tcMar>
              <w:top w:w="70" w:type="dxa"/>
              <w:start w:w="80" w:type="dxa"/>
              <w:bottom w:w="70" w:type="dxa"/>
              <w:end w:w="80" w:type="dxa"/>
            </w:tcMar>
            <w:vAlign w:val="top"/>
          </w:tcPr>
          <w:p>
            <w:pPr>
              <w:spacing w:after="0"/>
            </w:pPr>
            <w:r>
              <w:rPr>
                <w:color w:val="12202B"/>
                <w:sz w:val="17"/>
              </w:rPr>
              <w:t>Customer/domain authority signs off thresholds and action mapping where consequential.</w:t>
            </w:r>
          </w:p>
        </w:tc>
      </w:tr>
    </w:tbl>
    <w:p>
      <w:pPr>
        <w:pStyle w:val="Heading1"/>
      </w:pPr>
      <w:r>
        <w:t>16. Deployment Profiles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23B5A"/>
            <w:vAlign w:val="center"/>
            <w:tcMar>
              <w:top w:w="70" w:type="dxa"/>
              <w:start w:w="80" w:type="dxa"/>
              <w:bottom w:w="70" w:type="dxa"/>
              <w:end w:w="80" w:type="dxa"/>
            </w:tcMar>
          </w:tcPr>
          <w:p>
            <w:r>
              <w:rPr>
                <w:b/>
                <w:color w:val="FFFFFF"/>
                <w:sz w:val="17"/>
              </w:rPr>
              <w:t>Profile</w:t>
            </w:r>
          </w:p>
        </w:tc>
        <w:tc>
          <w:tcPr>
            <w:tcW w:type="dxa" w:w="2592"/>
            <w:shd w:fill="123B5A"/>
            <w:vAlign w:val="center"/>
            <w:tcMar>
              <w:top w:w="70" w:type="dxa"/>
              <w:start w:w="80" w:type="dxa"/>
              <w:bottom w:w="70" w:type="dxa"/>
              <w:end w:w="80" w:type="dxa"/>
            </w:tcMar>
          </w:tcPr>
          <w:p>
            <w:r>
              <w:rPr>
                <w:b/>
                <w:color w:val="FFFFFF"/>
                <w:sz w:val="17"/>
              </w:rPr>
              <w:t>Use</w:t>
            </w:r>
          </w:p>
        </w:tc>
        <w:tc>
          <w:tcPr>
            <w:tcW w:type="dxa" w:w="5904"/>
            <w:shd w:fill="123B5A"/>
            <w:vAlign w:val="center"/>
            <w:tcMar>
              <w:top w:w="70" w:type="dxa"/>
              <w:start w:w="80" w:type="dxa"/>
              <w:bottom w:w="70" w:type="dxa"/>
              <w:end w:w="80" w:type="dxa"/>
            </w:tcMar>
          </w:tcPr>
          <w:p>
            <w:r>
              <w:rPr>
                <w:b/>
                <w:color w:val="FFFFFF"/>
                <w:sz w:val="17"/>
              </w:rPr>
              <w:t>Characteristics</w:t>
            </w:r>
          </w:p>
        </w:tc>
      </w:tr>
      <w:tr>
        <w:tc>
          <w:tcPr>
            <w:tcW w:type="dxa" w:w="3456"/>
            <w:tcMar>
              <w:top w:w="70" w:type="dxa"/>
              <w:start w:w="80" w:type="dxa"/>
              <w:bottom w:w="70" w:type="dxa"/>
              <w:end w:w="80" w:type="dxa"/>
            </w:tcMar>
            <w:vAlign w:val="top"/>
          </w:tcPr>
          <w:p>
            <w:pPr>
              <w:spacing w:after="0"/>
            </w:pPr>
            <w:r>
              <w:rPr>
                <w:color w:val="12202B"/>
                <w:sz w:val="17"/>
              </w:rPr>
              <w:t>A — Edge Autonomous</w:t>
            </w:r>
          </w:p>
        </w:tc>
        <w:tc>
          <w:tcPr>
            <w:tcW w:type="dxa" w:w="3456"/>
            <w:tcMar>
              <w:top w:w="70" w:type="dxa"/>
              <w:start w:w="80" w:type="dxa"/>
              <w:bottom w:w="70" w:type="dxa"/>
              <w:end w:w="80" w:type="dxa"/>
            </w:tcMar>
            <w:vAlign w:val="top"/>
          </w:tcPr>
          <w:p>
            <w:pPr>
              <w:spacing w:after="0"/>
            </w:pPr>
            <w:r>
              <w:rPr>
                <w:color w:val="12202B"/>
                <w:sz w:val="17"/>
              </w:rPr>
              <w:t>Intermittent/low-latency sites</w:t>
            </w:r>
          </w:p>
        </w:tc>
        <w:tc>
          <w:tcPr>
            <w:tcW w:type="dxa" w:w="3456"/>
            <w:tcMar>
              <w:top w:w="70" w:type="dxa"/>
              <w:start w:w="80" w:type="dxa"/>
              <w:bottom w:w="70" w:type="dxa"/>
              <w:end w:w="80" w:type="dxa"/>
            </w:tcMar>
            <w:vAlign w:val="top"/>
          </w:tcPr>
          <w:p>
            <w:pPr>
              <w:spacing w:after="0"/>
            </w:pPr>
            <w:r>
              <w:rPr>
                <w:color w:val="12202B"/>
                <w:sz w:val="17"/>
              </w:rPr>
              <w:t>Local perception + RustGate + local evidence; sync later; explicit offline authority policy.</w:t>
            </w:r>
          </w:p>
        </w:tc>
      </w:tr>
      <w:tr>
        <w:tc>
          <w:tcPr>
            <w:tcW w:type="dxa" w:w="3456"/>
            <w:tcMar>
              <w:top w:w="70" w:type="dxa"/>
              <w:start w:w="80" w:type="dxa"/>
              <w:bottom w:w="70" w:type="dxa"/>
              <w:end w:w="80" w:type="dxa"/>
            </w:tcMar>
            <w:vAlign w:val="top"/>
          </w:tcPr>
          <w:p>
            <w:pPr>
              <w:spacing w:after="0"/>
            </w:pPr>
            <w:r>
              <w:rPr>
                <w:color w:val="12202B"/>
                <w:sz w:val="17"/>
              </w:rPr>
              <w:t>B — Edge + Cloud</w:t>
            </w:r>
          </w:p>
        </w:tc>
        <w:tc>
          <w:tcPr>
            <w:tcW w:type="dxa" w:w="3456"/>
            <w:tcMar>
              <w:top w:w="70" w:type="dxa"/>
              <w:start w:w="80" w:type="dxa"/>
              <w:bottom w:w="70" w:type="dxa"/>
              <w:end w:w="80" w:type="dxa"/>
            </w:tcMar>
            <w:vAlign w:val="top"/>
          </w:tcPr>
          <w:p>
            <w:pPr>
              <w:spacing w:after="0"/>
            </w:pPr>
            <w:r>
              <w:rPr>
                <w:color w:val="12202B"/>
                <w:sz w:val="17"/>
              </w:rPr>
              <w:t>Default enterprise hybrid</w:t>
            </w:r>
          </w:p>
        </w:tc>
        <w:tc>
          <w:tcPr>
            <w:tcW w:type="dxa" w:w="3456"/>
            <w:tcMar>
              <w:top w:w="70" w:type="dxa"/>
              <w:start w:w="80" w:type="dxa"/>
              <w:bottom w:w="70" w:type="dxa"/>
              <w:end w:w="80" w:type="dxa"/>
            </w:tcMar>
            <w:vAlign w:val="top"/>
          </w:tcPr>
          <w:p>
            <w:pPr>
              <w:spacing w:after="0"/>
            </w:pPr>
            <w:r>
              <w:rPr>
                <w:color w:val="12202B"/>
                <w:sz w:val="17"/>
              </w:rPr>
              <w:t>Local quality/inference/gating where useful; cloud state, evidence, analytics, and integrations.</w:t>
            </w:r>
          </w:p>
        </w:tc>
      </w:tr>
      <w:tr>
        <w:tc>
          <w:tcPr>
            <w:tcW w:type="dxa" w:w="3456"/>
            <w:tcMar>
              <w:top w:w="70" w:type="dxa"/>
              <w:start w:w="80" w:type="dxa"/>
              <w:bottom w:w="70" w:type="dxa"/>
              <w:end w:w="80" w:type="dxa"/>
            </w:tcMar>
            <w:vAlign w:val="top"/>
          </w:tcPr>
          <w:p>
            <w:pPr>
              <w:spacing w:after="0"/>
            </w:pPr>
            <w:r>
              <w:rPr>
                <w:color w:val="12202B"/>
                <w:sz w:val="17"/>
              </w:rPr>
              <w:t>C — Cloud-Centric</w:t>
            </w:r>
          </w:p>
        </w:tc>
        <w:tc>
          <w:tcPr>
            <w:tcW w:type="dxa" w:w="3456"/>
            <w:tcMar>
              <w:top w:w="70" w:type="dxa"/>
              <w:start w:w="80" w:type="dxa"/>
              <w:bottom w:w="70" w:type="dxa"/>
              <w:end w:w="80" w:type="dxa"/>
            </w:tcMar>
            <w:vAlign w:val="top"/>
          </w:tcPr>
          <w:p>
            <w:pPr>
              <w:spacing w:after="0"/>
            </w:pPr>
            <w:r>
              <w:rPr>
                <w:color w:val="12202B"/>
                <w:sz w:val="17"/>
              </w:rPr>
              <w:t>Connected, lower-consequence workflows</w:t>
            </w:r>
          </w:p>
        </w:tc>
        <w:tc>
          <w:tcPr>
            <w:tcW w:type="dxa" w:w="3456"/>
            <w:tcMar>
              <w:top w:w="70" w:type="dxa"/>
              <w:start w:w="80" w:type="dxa"/>
              <w:bottom w:w="70" w:type="dxa"/>
              <w:end w:w="80" w:type="dxa"/>
            </w:tcMar>
            <w:vAlign w:val="top"/>
          </w:tcPr>
          <w:p>
            <w:pPr>
              <w:spacing w:after="0"/>
            </w:pPr>
            <w:r>
              <w:rPr>
                <w:color w:val="12202B"/>
                <w:sz w:val="17"/>
              </w:rPr>
              <w:t>Capture/quality at edge; central inference/RustGate/evidence.</w:t>
            </w:r>
          </w:p>
        </w:tc>
      </w:tr>
      <w:tr>
        <w:tc>
          <w:tcPr>
            <w:tcW w:type="dxa" w:w="3456"/>
            <w:tcMar>
              <w:top w:w="70" w:type="dxa"/>
              <w:start w:w="80" w:type="dxa"/>
              <w:bottom w:w="70" w:type="dxa"/>
              <w:end w:w="80" w:type="dxa"/>
            </w:tcMar>
            <w:vAlign w:val="top"/>
          </w:tcPr>
          <w:p>
            <w:pPr>
              <w:spacing w:after="0"/>
            </w:pPr>
            <w:r>
              <w:rPr>
                <w:color w:val="12202B"/>
                <w:sz w:val="17"/>
              </w:rPr>
              <w:t>D — Dedicated Enterprise</w:t>
            </w:r>
          </w:p>
        </w:tc>
        <w:tc>
          <w:tcPr>
            <w:tcW w:type="dxa" w:w="3456"/>
            <w:tcMar>
              <w:top w:w="70" w:type="dxa"/>
              <w:start w:w="80" w:type="dxa"/>
              <w:bottom w:w="70" w:type="dxa"/>
              <w:end w:w="80" w:type="dxa"/>
            </w:tcMar>
            <w:vAlign w:val="top"/>
          </w:tcPr>
          <w:p>
            <w:pPr>
              <w:spacing w:after="0"/>
            </w:pPr>
            <w:r>
              <w:rPr>
                <w:color w:val="12202B"/>
                <w:sz w:val="17"/>
              </w:rPr>
              <w:t>High isolation/security customers</w:t>
            </w:r>
          </w:p>
        </w:tc>
        <w:tc>
          <w:tcPr>
            <w:tcW w:type="dxa" w:w="3456"/>
            <w:tcMar>
              <w:top w:w="70" w:type="dxa"/>
              <w:start w:w="80" w:type="dxa"/>
              <w:bottom w:w="70" w:type="dxa"/>
              <w:end w:w="80" w:type="dxa"/>
            </w:tcMar>
            <w:vAlign w:val="top"/>
          </w:tcPr>
          <w:p>
            <w:pPr>
              <w:spacing w:after="0"/>
            </w:pPr>
            <w:r>
              <w:rPr>
                <w:color w:val="12202B"/>
                <w:sz w:val="17"/>
              </w:rPr>
              <w:t>Dedicated network/data/compute/key profile; private endpoints; customer-specific retention and identity.</w:t>
            </w:r>
          </w:p>
        </w:tc>
      </w:tr>
      <w:tr>
        <w:tc>
          <w:tcPr>
            <w:tcW w:type="dxa" w:w="3456"/>
            <w:tcMar>
              <w:top w:w="70" w:type="dxa"/>
              <w:start w:w="80" w:type="dxa"/>
              <w:bottom w:w="70" w:type="dxa"/>
              <w:end w:w="80" w:type="dxa"/>
            </w:tcMar>
            <w:vAlign w:val="top"/>
          </w:tcPr>
          <w:p>
            <w:pPr>
              <w:spacing w:after="0"/>
            </w:pPr>
            <w:r>
              <w:rPr>
                <w:color w:val="12202B"/>
                <w:sz w:val="17"/>
              </w:rPr>
              <w:t>E — OEM Embedded</w:t>
            </w:r>
          </w:p>
        </w:tc>
        <w:tc>
          <w:tcPr>
            <w:tcW w:type="dxa" w:w="3456"/>
            <w:tcMar>
              <w:top w:w="70" w:type="dxa"/>
              <w:start w:w="80" w:type="dxa"/>
              <w:bottom w:w="70" w:type="dxa"/>
              <w:end w:w="80" w:type="dxa"/>
            </w:tcMar>
            <w:vAlign w:val="top"/>
          </w:tcPr>
          <w:p>
            <w:pPr>
              <w:spacing w:after="0"/>
            </w:pPr>
            <w:r>
              <w:rPr>
                <w:color w:val="12202B"/>
                <w:sz w:val="17"/>
              </w:rPr>
              <w:t>Robots/cameras/gateways</w:t>
            </w:r>
          </w:p>
        </w:tc>
        <w:tc>
          <w:tcPr>
            <w:tcW w:type="dxa" w:w="3456"/>
            <w:tcMar>
              <w:top w:w="70" w:type="dxa"/>
              <w:start w:w="80" w:type="dxa"/>
              <w:bottom w:w="70" w:type="dxa"/>
              <w:end w:w="80" w:type="dxa"/>
            </w:tcMar>
            <w:vAlign w:val="top"/>
          </w:tcPr>
          <w:p>
            <w:pPr>
              <w:spacing w:after="0"/>
            </w:pPr>
            <w:r>
              <w:rPr>
                <w:color w:val="12202B"/>
                <w:sz w:val="17"/>
              </w:rPr>
              <w:t>RustGate and selected perception/evidence components embedded into vendor device/software.</w:t>
            </w:r>
          </w:p>
        </w:tc>
      </w:tr>
    </w:tbl>
    <w:p>
      <w:pPr>
        <w:pStyle w:val="Heading1"/>
      </w:pPr>
      <w:r>
        <w:t>17. Reconciliation Decisions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744"/>
            <w:shd w:fill="123B5A"/>
            <w:vAlign w:val="center"/>
            <w:tcMar>
              <w:top w:w="70" w:type="dxa"/>
              <w:start w:w="80" w:type="dxa"/>
              <w:bottom w:w="70" w:type="dxa"/>
              <w:end w:w="80" w:type="dxa"/>
            </w:tcMar>
          </w:tcPr>
          <w:p>
            <w:r>
              <w:rPr>
                <w:b/>
                <w:color w:val="FFFFFF"/>
                <w:sz w:val="17"/>
              </w:rPr>
              <w:t>Conflict / Gap</w:t>
            </w:r>
          </w:p>
        </w:tc>
        <w:tc>
          <w:tcPr>
            <w:tcW w:type="dxa" w:w="6912"/>
            <w:shd w:fill="123B5A"/>
            <w:vAlign w:val="center"/>
            <w:tcMar>
              <w:top w:w="70" w:type="dxa"/>
              <w:start w:w="80" w:type="dxa"/>
              <w:bottom w:w="70" w:type="dxa"/>
              <w:end w:w="80" w:type="dxa"/>
            </w:tcMar>
          </w:tcPr>
          <w:p>
            <w:r>
              <w:rPr>
                <w:b/>
                <w:color w:val="FFFFFF"/>
                <w:sz w:val="17"/>
              </w:rPr>
              <w:t>Decision</w:t>
            </w:r>
          </w:p>
        </w:tc>
      </w:tr>
      <w:tr>
        <w:tc>
          <w:tcPr>
            <w:tcW w:type="dxa" w:w="5184"/>
            <w:tcMar>
              <w:top w:w="70" w:type="dxa"/>
              <w:start w:w="80" w:type="dxa"/>
              <w:bottom w:w="70" w:type="dxa"/>
              <w:end w:w="80" w:type="dxa"/>
            </w:tcMar>
            <w:vAlign w:val="top"/>
          </w:tcPr>
          <w:p>
            <w:pPr>
              <w:spacing w:after="0"/>
            </w:pPr>
            <w:r>
              <w:rPr>
                <w:color w:val="12202B"/>
                <w:sz w:val="17"/>
              </w:rPr>
              <w:t>“Retail Lens” naming</w:t>
            </w:r>
          </w:p>
        </w:tc>
        <w:tc>
          <w:tcPr>
            <w:tcW w:type="dxa" w:w="5184"/>
            <w:tcMar>
              <w:top w:w="70" w:type="dxa"/>
              <w:start w:w="80" w:type="dxa"/>
              <w:bottom w:w="70" w:type="dxa"/>
              <w:end w:w="80" w:type="dxa"/>
            </w:tcMar>
            <w:vAlign w:val="top"/>
          </w:tcPr>
          <w:p>
            <w:pPr>
              <w:spacing w:after="0"/>
            </w:pPr>
            <w:r>
              <w:rPr>
                <w:color w:val="12202B"/>
                <w:sz w:val="17"/>
              </w:rPr>
              <w:t>Use ShelfCat Retail for shelf enforcement; reserve ShelfCat Lens for the voice/vision ingestion product.</w:t>
            </w:r>
          </w:p>
        </w:tc>
      </w:tr>
      <w:tr>
        <w:tc>
          <w:tcPr>
            <w:tcW w:type="dxa" w:w="5184"/>
            <w:tcMar>
              <w:top w:w="70" w:type="dxa"/>
              <w:start w:w="80" w:type="dxa"/>
              <w:bottom w:w="70" w:type="dxa"/>
              <w:end w:w="80" w:type="dxa"/>
            </w:tcMar>
            <w:vAlign w:val="top"/>
          </w:tcPr>
          <w:p>
            <w:pPr>
              <w:spacing w:after="0"/>
            </w:pPr>
            <w:r>
              <w:rPr>
                <w:color w:val="12202B"/>
                <w:sz w:val="17"/>
              </w:rPr>
              <w:t>AI authority ambiguity</w:t>
            </w:r>
          </w:p>
        </w:tc>
        <w:tc>
          <w:tcPr>
            <w:tcW w:type="dxa" w:w="5184"/>
            <w:tcMar>
              <w:top w:w="70" w:type="dxa"/>
              <w:start w:w="80" w:type="dxa"/>
              <w:bottom w:w="70" w:type="dxa"/>
              <w:end w:w="80" w:type="dxa"/>
            </w:tcMar>
            <w:vAlign w:val="top"/>
          </w:tcPr>
          <w:p>
            <w:pPr>
              <w:spacing w:after="0"/>
            </w:pPr>
            <w:r>
              <w:rPr>
                <w:color w:val="12202B"/>
                <w:sz w:val="17"/>
              </w:rPr>
              <w:t>AI proposes observations; RustGate authorizes against policy.</w:t>
            </w:r>
          </w:p>
        </w:tc>
      </w:tr>
      <w:tr>
        <w:tc>
          <w:tcPr>
            <w:tcW w:type="dxa" w:w="5184"/>
            <w:tcMar>
              <w:top w:w="70" w:type="dxa"/>
              <w:start w:w="80" w:type="dxa"/>
              <w:bottom w:w="70" w:type="dxa"/>
              <w:end w:w="80" w:type="dxa"/>
            </w:tcMar>
            <w:vAlign w:val="top"/>
          </w:tcPr>
          <w:p>
            <w:pPr>
              <w:spacing w:after="0"/>
            </w:pPr>
            <w:r>
              <w:rPr>
                <w:color w:val="12202B"/>
                <w:sz w:val="17"/>
              </w:rPr>
              <w:t>“Validation accuracy = determinism”</w:t>
            </w:r>
          </w:p>
        </w:tc>
        <w:tc>
          <w:tcPr>
            <w:tcW w:type="dxa" w:w="5184"/>
            <w:tcMar>
              <w:top w:w="70" w:type="dxa"/>
              <w:start w:w="80" w:type="dxa"/>
              <w:bottom w:w="70" w:type="dxa"/>
              <w:end w:w="80" w:type="dxa"/>
            </w:tcMar>
            <w:vAlign w:val="top"/>
          </w:tcPr>
          <w:p>
            <w:pPr>
              <w:spacing w:after="0"/>
            </w:pPr>
            <w:r>
              <w:rPr>
                <w:color w:val="12202B"/>
                <w:sz w:val="17"/>
              </w:rPr>
              <w:t>Rejected. Determinism and empirical accuracy are separate validation axes.</w:t>
            </w:r>
          </w:p>
        </w:tc>
      </w:tr>
      <w:tr>
        <w:tc>
          <w:tcPr>
            <w:tcW w:type="dxa" w:w="5184"/>
            <w:tcMar>
              <w:top w:w="70" w:type="dxa"/>
              <w:start w:w="80" w:type="dxa"/>
              <w:bottom w:w="70" w:type="dxa"/>
              <w:end w:w="80" w:type="dxa"/>
            </w:tcMar>
            <w:vAlign w:val="top"/>
          </w:tcPr>
          <w:p>
            <w:pPr>
              <w:spacing w:after="0"/>
            </w:pPr>
            <w:r>
              <w:rPr>
                <w:color w:val="12202B"/>
                <w:sz w:val="17"/>
              </w:rPr>
              <w:t>“No raw data transmission”</w:t>
            </w:r>
          </w:p>
        </w:tc>
        <w:tc>
          <w:tcPr>
            <w:tcW w:type="dxa" w:w="5184"/>
            <w:tcMar>
              <w:top w:w="70" w:type="dxa"/>
              <w:start w:w="80" w:type="dxa"/>
              <w:bottom w:w="70" w:type="dxa"/>
              <w:end w:w="80" w:type="dxa"/>
            </w:tcMar>
            <w:vAlign w:val="top"/>
          </w:tcPr>
          <w:p>
            <w:pPr>
              <w:spacing w:after="0"/>
            </w:pPr>
            <w:r>
              <w:rPr>
                <w:color w:val="12202B"/>
                <w:sz w:val="17"/>
              </w:rPr>
              <w:t>Replaced with policy-controlled raw-media handling and metadata-only/local-first profiles.</w:t>
            </w:r>
          </w:p>
        </w:tc>
      </w:tr>
      <w:tr>
        <w:tc>
          <w:tcPr>
            <w:tcW w:type="dxa" w:w="5184"/>
            <w:tcMar>
              <w:top w:w="70" w:type="dxa"/>
              <w:start w:w="80" w:type="dxa"/>
              <w:bottom w:w="70" w:type="dxa"/>
              <w:end w:w="80" w:type="dxa"/>
            </w:tcMar>
            <w:vAlign w:val="top"/>
          </w:tcPr>
          <w:p>
            <w:pPr>
              <w:spacing w:after="0"/>
            </w:pPr>
            <w:r>
              <w:rPr>
                <w:color w:val="12202B"/>
                <w:sz w:val="17"/>
              </w:rPr>
              <w:t>Waste/purge path</w:t>
            </w:r>
          </w:p>
        </w:tc>
        <w:tc>
          <w:tcPr>
            <w:tcW w:type="dxa" w:w="5184"/>
            <w:tcMar>
              <w:top w:w="70" w:type="dxa"/>
              <w:start w:w="80" w:type="dxa"/>
              <w:bottom w:w="70" w:type="dxa"/>
              <w:end w:w="80" w:type="dxa"/>
            </w:tcMar>
            <w:vAlign w:val="top"/>
          </w:tcPr>
          <w:p>
            <w:pPr>
              <w:spacing w:after="0"/>
            </w:pPr>
            <w:r>
              <w:rPr>
                <w:color w:val="12202B"/>
                <w:sz w:val="17"/>
              </w:rPr>
              <w:t>Payload may be purged; minimal rejection metadata remains auditable.</w:t>
            </w:r>
          </w:p>
        </w:tc>
      </w:tr>
      <w:tr>
        <w:tc>
          <w:tcPr>
            <w:tcW w:type="dxa" w:w="5184"/>
            <w:tcMar>
              <w:top w:w="70" w:type="dxa"/>
              <w:start w:w="80" w:type="dxa"/>
              <w:bottom w:w="70" w:type="dxa"/>
              <w:end w:w="80" w:type="dxa"/>
            </w:tcMar>
            <w:vAlign w:val="top"/>
          </w:tcPr>
          <w:p>
            <w:pPr>
              <w:spacing w:after="0"/>
            </w:pPr>
            <w:r>
              <w:rPr>
                <w:color w:val="12202B"/>
                <w:sz w:val="17"/>
              </w:rPr>
              <w:t>DCT watermark as integrity proof</w:t>
            </w:r>
          </w:p>
        </w:tc>
        <w:tc>
          <w:tcPr>
            <w:tcW w:type="dxa" w:w="5184"/>
            <w:tcMar>
              <w:top w:w="70" w:type="dxa"/>
              <w:start w:w="80" w:type="dxa"/>
              <w:bottom w:w="70" w:type="dxa"/>
              <w:end w:w="80" w:type="dxa"/>
            </w:tcMar>
            <w:vAlign w:val="top"/>
          </w:tcPr>
          <w:p>
            <w:pPr>
              <w:spacing w:after="0"/>
            </w:pPr>
            <w:r>
              <w:rPr>
                <w:color w:val="12202B"/>
                <w:sz w:val="17"/>
              </w:rPr>
              <w:t>Supplemental only; hashes/signatures remain trust root.</w:t>
            </w:r>
          </w:p>
        </w:tc>
      </w:tr>
      <w:tr>
        <w:tc>
          <w:tcPr>
            <w:tcW w:type="dxa" w:w="5184"/>
            <w:tcMar>
              <w:top w:w="70" w:type="dxa"/>
              <w:start w:w="80" w:type="dxa"/>
              <w:bottom w:w="70" w:type="dxa"/>
              <w:end w:w="80" w:type="dxa"/>
            </w:tcMar>
            <w:vAlign w:val="top"/>
          </w:tcPr>
          <w:p>
            <w:pPr>
              <w:spacing w:after="0"/>
            </w:pPr>
            <w:r>
              <w:rPr>
                <w:color w:val="12202B"/>
                <w:sz w:val="17"/>
              </w:rPr>
              <w:t>Blockchain dependency</w:t>
            </w:r>
          </w:p>
        </w:tc>
        <w:tc>
          <w:tcPr>
            <w:tcW w:type="dxa" w:w="5184"/>
            <w:tcMar>
              <w:top w:w="70" w:type="dxa"/>
              <w:start w:w="80" w:type="dxa"/>
              <w:bottom w:w="70" w:type="dxa"/>
              <w:end w:w="80" w:type="dxa"/>
            </w:tcMar>
            <w:vAlign w:val="top"/>
          </w:tcPr>
          <w:p>
            <w:pPr>
              <w:spacing w:after="0"/>
            </w:pPr>
            <w:r>
              <w:rPr>
                <w:color w:val="12202B"/>
                <w:sz w:val="17"/>
              </w:rPr>
              <w:t>Removed from baseline; signed hash-chain is sufficient core mechanism.</w:t>
            </w:r>
          </w:p>
        </w:tc>
      </w:tr>
      <w:tr>
        <w:tc>
          <w:tcPr>
            <w:tcW w:type="dxa" w:w="5184"/>
            <w:tcMar>
              <w:top w:w="70" w:type="dxa"/>
              <w:start w:w="80" w:type="dxa"/>
              <w:bottom w:w="70" w:type="dxa"/>
              <w:end w:w="80" w:type="dxa"/>
            </w:tcMar>
            <w:vAlign w:val="top"/>
          </w:tcPr>
          <w:p>
            <w:pPr>
              <w:spacing w:after="0"/>
            </w:pPr>
            <w:r>
              <w:rPr>
                <w:color w:val="12202B"/>
                <w:sz w:val="17"/>
              </w:rPr>
              <w:t>Azure cloud topology missing</w:t>
            </w:r>
          </w:p>
        </w:tc>
        <w:tc>
          <w:tcPr>
            <w:tcW w:type="dxa" w:w="5184"/>
            <w:tcMar>
              <w:top w:w="70" w:type="dxa"/>
              <w:start w:w="80" w:type="dxa"/>
              <w:bottom w:w="70" w:type="dxa"/>
              <w:end w:w="80" w:type="dxa"/>
            </w:tcMar>
            <w:vAlign w:val="top"/>
          </w:tcPr>
          <w:p>
            <w:pPr>
              <w:spacing w:after="0"/>
            </w:pPr>
            <w:r>
              <w:rPr>
                <w:color w:val="12202B"/>
                <w:sz w:val="17"/>
              </w:rPr>
              <w:t>Added Front Door/WAF, Entra ID, tenant routing, AKS/ACR, PostgreSQL, Blob, event bus, Key Vault/HSM, Monitor.</w:t>
            </w:r>
          </w:p>
        </w:tc>
      </w:tr>
      <w:tr>
        <w:tc>
          <w:tcPr>
            <w:tcW w:type="dxa" w:w="5184"/>
            <w:tcMar>
              <w:top w:w="70" w:type="dxa"/>
              <w:start w:w="80" w:type="dxa"/>
              <w:bottom w:w="70" w:type="dxa"/>
              <w:end w:w="80" w:type="dxa"/>
            </w:tcMar>
            <w:vAlign w:val="top"/>
          </w:tcPr>
          <w:p>
            <w:pPr>
              <w:spacing w:after="0"/>
            </w:pPr>
            <w:r>
              <w:rPr>
                <w:color w:val="12202B"/>
                <w:sz w:val="17"/>
              </w:rPr>
              <w:t>Schema-per-tenant as “isolation”</w:t>
            </w:r>
          </w:p>
        </w:tc>
        <w:tc>
          <w:tcPr>
            <w:tcW w:type="dxa" w:w="5184"/>
            <w:tcMar>
              <w:top w:w="70" w:type="dxa"/>
              <w:start w:w="80" w:type="dxa"/>
              <w:bottom w:w="70" w:type="dxa"/>
              <w:end w:w="80" w:type="dxa"/>
            </w:tcMar>
            <w:vAlign w:val="top"/>
          </w:tcPr>
          <w:p>
            <w:pPr>
              <w:spacing w:after="0"/>
            </w:pPr>
            <w:r>
              <w:rPr>
                <w:color w:val="12202B"/>
                <w:sz w:val="17"/>
              </w:rPr>
              <w:t>Replaced with enforceable tenancy model: RLS baseline; stronger isolation by profile.</w:t>
            </w:r>
          </w:p>
        </w:tc>
      </w:tr>
      <w:tr>
        <w:tc>
          <w:tcPr>
            <w:tcW w:type="dxa" w:w="5184"/>
            <w:tcMar>
              <w:top w:w="70" w:type="dxa"/>
              <w:start w:w="80" w:type="dxa"/>
              <w:bottom w:w="70" w:type="dxa"/>
              <w:end w:w="80" w:type="dxa"/>
            </w:tcMar>
            <w:vAlign w:val="top"/>
          </w:tcPr>
          <w:p>
            <w:pPr>
              <w:spacing w:after="0"/>
            </w:pPr>
            <w:r>
              <w:rPr>
                <w:color w:val="12202B"/>
                <w:sz w:val="17"/>
              </w:rPr>
              <w:t>PQC as present requirement</w:t>
            </w:r>
          </w:p>
        </w:tc>
        <w:tc>
          <w:tcPr>
            <w:tcW w:type="dxa" w:w="5184"/>
            <w:tcMar>
              <w:top w:w="70" w:type="dxa"/>
              <w:start w:w="80" w:type="dxa"/>
              <w:bottom w:w="70" w:type="dxa"/>
              <w:end w:w="80" w:type="dxa"/>
            </w:tcMar>
            <w:vAlign w:val="top"/>
          </w:tcPr>
          <w:p>
            <w:pPr>
              <w:spacing w:after="0"/>
            </w:pPr>
            <w:r>
              <w:rPr>
                <w:color w:val="12202B"/>
                <w:sz w:val="17"/>
              </w:rPr>
              <w:t>Moved to future crypto-agility/readiness track.</w:t>
            </w:r>
          </w:p>
        </w:tc>
      </w:tr>
    </w:tbl>
    <w:p>
      <w:pPr>
        <w:pStyle w:val="Heading1"/>
      </w:pPr>
      <w:r>
        <w:t>18. Priority Implementation Backlog</w:t>
      </w:r>
    </w:p>
    <w:p>
      <w:pPr>
        <w:pStyle w:val="ListNumber"/>
        <w:spacing w:after="60"/>
      </w:pPr>
      <w:r>
        <w:t>Freeze and publish JSON Schema / protobuf-equivalent definitions for Observation Envelope and Decision Envelope, including canonical serialization rules.</w:t>
      </w:r>
    </w:p>
    <w:p>
      <w:pPr>
        <w:pStyle w:val="ListNumber"/>
        <w:spacing w:after="60"/>
      </w:pPr>
      <w:r>
        <w:t>Create RustGate deterministic golden-vector suite and cross-platform replay harness; include malformed/stale/duplicate/signature-failure cases.</w:t>
      </w:r>
    </w:p>
    <w:p>
      <w:pPr>
        <w:pStyle w:val="ListNumber"/>
        <w:spacing w:after="60"/>
      </w:pPr>
      <w:r>
        <w:t>Formalize policy-pack manifest: ID, semantic version, hash, signer, owner, effective date, status, compatible engine range, rollback target.</w:t>
      </w:r>
    </w:p>
    <w:p>
      <w:pPr>
        <w:pStyle w:val="ListNumber"/>
        <w:spacing w:after="60"/>
      </w:pPr>
      <w:r>
        <w:t>Implement tenant isolation tests against PostgreSQL RLS and service authorization; document stronger-isolation deployment profiles.</w:t>
      </w:r>
    </w:p>
    <w:p>
      <w:pPr>
        <w:pStyle w:val="ListNumber"/>
        <w:spacing w:after="60"/>
      </w:pPr>
      <w:r>
        <w:t>Split device provenance keys from authority signing keys; document P-256 device signing and Ed25519/server signing verification chain.</w:t>
      </w:r>
    </w:p>
    <w:p>
      <w:pPr>
        <w:pStyle w:val="ListNumber"/>
        <w:spacing w:after="60"/>
      </w:pPr>
      <w:r>
        <w:t>Add evidence-chain verifier and exportable replay bundle format.</w:t>
      </w:r>
    </w:p>
    <w:p>
      <w:pPr>
        <w:pStyle w:val="ListNumber"/>
        <w:spacing w:after="60"/>
      </w:pPr>
      <w:r>
        <w:t>Create a claims-evidence registry that ties every public metric to test artifact, hardware profile, date, dataset, and calculation method.</w:t>
      </w:r>
    </w:p>
    <w:p>
      <w:pPr>
        <w:pStyle w:val="ListNumber"/>
        <w:spacing w:after="60"/>
      </w:pPr>
      <w:r>
        <w:t>Instrument latency by stage and percentiles; do not mix mesh latency, policy-eval latency, and end-to-end action latency.</w:t>
      </w:r>
    </w:p>
    <w:p>
      <w:pPr>
        <w:pStyle w:val="ListNumber"/>
        <w:spacing w:after="60"/>
      </w:pPr>
      <w:r>
        <w:t>Define raw-media retention modes: local-only, transient upload, retained evidence, legal hold; make them tenant policy.</w:t>
      </w:r>
    </w:p>
    <w:p>
      <w:pPr>
        <w:pStyle w:val="ListNumber"/>
        <w:spacing w:after="60"/>
      </w:pPr>
      <w:r>
        <w:t>Keep PQC work in a separate cryptographic agility roadmap until implementation and interoperability are validated.</w:t>
      </w:r>
    </w:p>
    <w:p>
      <w:pPr>
        <w:sectPr>
          <w:headerReference w:type="default" r:id="rId9"/>
          <w:footerReference w:type="default" r:id="rId10"/>
          <w:pgSz w:w="12240" w:h="15840"/>
          <w:pgMar w:top="792" w:right="936" w:bottom="792" w:left="936" w:header="720" w:footer="720" w:gutter="0"/>
          <w:cols w:space="720"/>
          <w:docGrid w:linePitch="360"/>
        </w:sectPr>
      </w:pPr>
    </w:p>
    <w:p>
      <w:pPr>
        <w:pStyle w:val="Heading1"/>
      </w:pPr>
      <w:r>
        <w:t>Appendix A — Source Architecture Diagrams</w:t>
      </w:r>
    </w:p>
    <w:p>
      <w:r>
        <w:t>These images are preserved as source concepts. Where text inside an image differs from Sections 1–18, the written normative specification controls.</w:t>
      </w:r>
    </w:p>
    <w:p>
      <w:pPr>
        <w:jc w:val="center"/>
      </w:pPr>
      <w:r>
        <w:drawing>
          <wp:inline xmlns:a="http://schemas.openxmlformats.org/drawingml/2006/main" xmlns:pic="http://schemas.openxmlformats.org/drawingml/2006/picture">
            <wp:extent cx="8778240" cy="4937760"/>
            <wp:docPr id="3" name="Picture 3"/>
            <wp:cNvGraphicFramePr>
              <a:graphicFrameLocks noChangeAspect="1"/>
            </wp:cNvGraphicFramePr>
            <a:graphic>
              <a:graphicData uri="http://schemas.openxmlformats.org/drawingml/2006/picture">
                <pic:pic>
                  <pic:nvPicPr>
                    <pic:cNvPr id="0" name="98F3F4C0-0218-4F84-A932-C3B0A92EBE64(1).jpeg"/>
                    <pic:cNvPicPr/>
                  </pic:nvPicPr>
                  <pic:blipFill>
                    <a:blip r:embed="rId15"/>
                    <a:stretch>
                      <a:fillRect/>
                    </a:stretch>
                  </pic:blipFill>
                  <pic:spPr>
                    <a:xfrm>
                      <a:off x="0" y="0"/>
                      <a:ext cx="8778240" cy="4937760"/>
                    </a:xfrm>
                    <a:prstGeom prst="rect"/>
                  </pic:spPr>
                </pic:pic>
              </a:graphicData>
            </a:graphic>
          </wp:inline>
        </w:drawing>
      </w:r>
    </w:p>
    <w:p>
      <w:pPr>
        <w:jc w:val="center"/>
      </w:pPr>
      <w:r>
        <w:rPr>
          <w:i/>
          <w:sz w:val="16"/>
        </w:rPr>
        <w:t>Figure A-1. Sector comparison + deterministic gating pipeline + enterprise workflow source diagram.</w:t>
      </w:r>
    </w:p>
    <w:p>
      <w:r>
        <w:br w:type="page"/>
      </w:r>
    </w:p>
    <w:p>
      <w:pPr>
        <w:jc w:val="center"/>
      </w:pPr>
      <w:r>
        <w:drawing>
          <wp:inline xmlns:a="http://schemas.openxmlformats.org/drawingml/2006/main" xmlns:pic="http://schemas.openxmlformats.org/drawingml/2006/picture">
            <wp:extent cx="8778240" cy="6314889"/>
            <wp:docPr id="4" name="Picture 4"/>
            <wp:cNvGraphicFramePr>
              <a:graphicFrameLocks noChangeAspect="1"/>
            </wp:cNvGraphicFramePr>
            <a:graphic>
              <a:graphicData uri="http://schemas.openxmlformats.org/drawingml/2006/picture">
                <pic:pic>
                  <pic:nvPicPr>
                    <pic:cNvPr id="0" name="IMG_0818.jpeg"/>
                    <pic:cNvPicPr/>
                  </pic:nvPicPr>
                  <pic:blipFill>
                    <a:blip r:embed="rId12"/>
                    <a:stretch>
                      <a:fillRect/>
                    </a:stretch>
                  </pic:blipFill>
                  <pic:spPr>
                    <a:xfrm>
                      <a:off x="0" y="0"/>
                      <a:ext cx="8778240" cy="6314889"/>
                    </a:xfrm>
                    <a:prstGeom prst="rect"/>
                  </pic:spPr>
                </pic:pic>
              </a:graphicData>
            </a:graphic>
          </wp:inline>
        </w:drawing>
      </w:r>
    </w:p>
    <w:p>
      <w:pPr>
        <w:jc w:val="center"/>
      </w:pPr>
      <w:r>
        <w:rPr>
          <w:i/>
          <w:sz w:val="16"/>
        </w:rPr>
        <w:t>Figure A-2. Enterprise workflow source diagram.</w:t>
      </w:r>
    </w:p>
    <w:p>
      <w:pPr>
        <w:sectPr>
          <w:headerReference w:type="default" r:id="rId13"/>
          <w:footerReference w:type="default" r:id="rId14"/>
          <w:pgSz w:w="15840" w:h="12240" w:orient="landscape"/>
          <w:pgMar w:top="648" w:right="648" w:bottom="648" w:left="648" w:header="720" w:footer="720" w:gutter="0"/>
          <w:cols w:space="720"/>
          <w:docGrid w:linePitch="360"/>
        </w:sectPr>
      </w:pPr>
    </w:p>
    <w:p>
      <w:pPr>
        <w:pStyle w:val="Heading1"/>
      </w:pPr>
      <w:r>
        <w:t>Appendix B — Authoritative Terminology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23B5A"/>
            <w:vAlign w:val="center"/>
            <w:tcMar>
              <w:top w:w="70" w:type="dxa"/>
              <w:start w:w="80" w:type="dxa"/>
              <w:bottom w:w="70" w:type="dxa"/>
              <w:end w:w="80" w:type="dxa"/>
            </w:tcMar>
          </w:tcPr>
          <w:p>
            <w:r>
              <w:rPr>
                <w:b/>
                <w:color w:val="FFFFFF"/>
                <w:sz w:val="17"/>
              </w:rPr>
              <w:t>Term</w:t>
            </w:r>
          </w:p>
        </w:tc>
        <w:tc>
          <w:tcPr>
            <w:tcW w:type="dxa" w:w="10080"/>
            <w:shd w:fill="123B5A"/>
            <w:vAlign w:val="center"/>
            <w:tcMar>
              <w:top w:w="70" w:type="dxa"/>
              <w:start w:w="80" w:type="dxa"/>
              <w:bottom w:w="70" w:type="dxa"/>
              <w:end w:w="80" w:type="dxa"/>
            </w:tcMar>
          </w:tcPr>
          <w:p>
            <w:r>
              <w:rPr>
                <w:b/>
                <w:color w:val="FFFFFF"/>
                <w:sz w:val="17"/>
              </w:rPr>
              <w:t>Meaning</w:t>
            </w:r>
          </w:p>
        </w:tc>
      </w:tr>
      <w:tr>
        <w:tc>
          <w:tcPr>
            <w:tcW w:type="dxa" w:w="5184"/>
            <w:tcMar>
              <w:top w:w="70" w:type="dxa"/>
              <w:start w:w="80" w:type="dxa"/>
              <w:bottom w:w="70" w:type="dxa"/>
              <w:end w:w="80" w:type="dxa"/>
            </w:tcMar>
            <w:vAlign w:val="top"/>
          </w:tcPr>
          <w:p>
            <w:pPr>
              <w:spacing w:after="0"/>
            </w:pPr>
            <w:r>
              <w:rPr>
                <w:color w:val="12202B"/>
                <w:sz w:val="17"/>
              </w:rPr>
              <w:t>AI Brain</w:t>
            </w:r>
          </w:p>
        </w:tc>
        <w:tc>
          <w:tcPr>
            <w:tcW w:type="dxa" w:w="5184"/>
            <w:tcMar>
              <w:top w:w="70" w:type="dxa"/>
              <w:start w:w="80" w:type="dxa"/>
              <w:bottom w:w="70" w:type="dxa"/>
              <w:end w:w="80" w:type="dxa"/>
            </w:tcMar>
            <w:vAlign w:val="top"/>
          </w:tcPr>
          <w:p>
            <w:pPr>
              <w:spacing w:after="0"/>
            </w:pPr>
            <w:r>
              <w:rPr>
                <w:color w:val="12202B"/>
                <w:sz w:val="17"/>
              </w:rPr>
              <w:t>Probabilistic perception/orchestration layer.</w:t>
            </w:r>
          </w:p>
        </w:tc>
      </w:tr>
      <w:tr>
        <w:tc>
          <w:tcPr>
            <w:tcW w:type="dxa" w:w="5184"/>
            <w:tcMar>
              <w:top w:w="70" w:type="dxa"/>
              <w:start w:w="80" w:type="dxa"/>
              <w:bottom w:w="70" w:type="dxa"/>
              <w:end w:w="80" w:type="dxa"/>
            </w:tcMar>
            <w:vAlign w:val="top"/>
          </w:tcPr>
          <w:p>
            <w:pPr>
              <w:spacing w:after="0"/>
            </w:pPr>
            <w:r>
              <w:rPr>
                <w:color w:val="12202B"/>
                <w:sz w:val="17"/>
              </w:rPr>
              <w:t>RustGate / Policy Authority</w:t>
            </w:r>
          </w:p>
        </w:tc>
        <w:tc>
          <w:tcPr>
            <w:tcW w:type="dxa" w:w="5184"/>
            <w:tcMar>
              <w:top w:w="70" w:type="dxa"/>
              <w:start w:w="80" w:type="dxa"/>
              <w:bottom w:w="70" w:type="dxa"/>
              <w:end w:w="80" w:type="dxa"/>
            </w:tcMar>
            <w:vAlign w:val="top"/>
          </w:tcPr>
          <w:p>
            <w:pPr>
              <w:spacing w:after="0"/>
            </w:pPr>
            <w:r>
              <w:rPr>
                <w:color w:val="12202B"/>
                <w:sz w:val="17"/>
              </w:rPr>
              <w:t>Deterministic evaluator and authority of record for policy outcome.</w:t>
            </w:r>
          </w:p>
        </w:tc>
      </w:tr>
      <w:tr>
        <w:tc>
          <w:tcPr>
            <w:tcW w:type="dxa" w:w="5184"/>
            <w:tcMar>
              <w:top w:w="70" w:type="dxa"/>
              <w:start w:w="80" w:type="dxa"/>
              <w:bottom w:w="70" w:type="dxa"/>
              <w:end w:w="80" w:type="dxa"/>
            </w:tcMar>
            <w:vAlign w:val="top"/>
          </w:tcPr>
          <w:p>
            <w:pPr>
              <w:spacing w:after="0"/>
            </w:pPr>
            <w:r>
              <w:rPr>
                <w:color w:val="12202B"/>
                <w:sz w:val="17"/>
              </w:rPr>
              <w:t>EdgeGuard</w:t>
            </w:r>
          </w:p>
        </w:tc>
        <w:tc>
          <w:tcPr>
            <w:tcW w:type="dxa" w:w="5184"/>
            <w:tcMar>
              <w:top w:w="70" w:type="dxa"/>
              <w:start w:w="80" w:type="dxa"/>
              <w:bottom w:w="70" w:type="dxa"/>
              <w:end w:w="80" w:type="dxa"/>
            </w:tcMar>
            <w:vAlign w:val="top"/>
          </w:tcPr>
          <w:p>
            <w:pPr>
              <w:spacing w:after="0"/>
            </w:pPr>
            <w:r>
              <w:rPr>
                <w:color w:val="12202B"/>
                <w:sz w:val="17"/>
              </w:rPr>
              <w:t>Enforcement/adapter layer that executes only authorized actions within delegated scope.</w:t>
            </w:r>
          </w:p>
        </w:tc>
      </w:tr>
      <w:tr>
        <w:tc>
          <w:tcPr>
            <w:tcW w:type="dxa" w:w="5184"/>
            <w:tcMar>
              <w:top w:w="70" w:type="dxa"/>
              <w:start w:w="80" w:type="dxa"/>
              <w:bottom w:w="70" w:type="dxa"/>
              <w:end w:w="80" w:type="dxa"/>
            </w:tcMar>
            <w:vAlign w:val="top"/>
          </w:tcPr>
          <w:p>
            <w:pPr>
              <w:spacing w:after="0"/>
            </w:pPr>
            <w:r>
              <w:rPr>
                <w:color w:val="12202B"/>
                <w:sz w:val="17"/>
              </w:rPr>
              <w:t>Observation Envelope</w:t>
            </w:r>
          </w:p>
        </w:tc>
        <w:tc>
          <w:tcPr>
            <w:tcW w:type="dxa" w:w="5184"/>
            <w:tcMar>
              <w:top w:w="70" w:type="dxa"/>
              <w:start w:w="80" w:type="dxa"/>
              <w:bottom w:w="70" w:type="dxa"/>
              <w:end w:w="80" w:type="dxa"/>
            </w:tcMar>
            <w:vAlign w:val="top"/>
          </w:tcPr>
          <w:p>
            <w:pPr>
              <w:spacing w:after="0"/>
            </w:pPr>
            <w:r>
              <w:rPr>
                <w:color w:val="12202B"/>
                <w:sz w:val="17"/>
              </w:rPr>
              <w:t>Normalized candidate fact presented to policy.</w:t>
            </w:r>
          </w:p>
        </w:tc>
      </w:tr>
      <w:tr>
        <w:tc>
          <w:tcPr>
            <w:tcW w:type="dxa" w:w="5184"/>
            <w:tcMar>
              <w:top w:w="70" w:type="dxa"/>
              <w:start w:w="80" w:type="dxa"/>
              <w:bottom w:w="70" w:type="dxa"/>
              <w:end w:w="80" w:type="dxa"/>
            </w:tcMar>
            <w:vAlign w:val="top"/>
          </w:tcPr>
          <w:p>
            <w:pPr>
              <w:spacing w:after="0"/>
            </w:pPr>
            <w:r>
              <w:rPr>
                <w:color w:val="12202B"/>
                <w:sz w:val="17"/>
              </w:rPr>
              <w:t>Decision Envelope</w:t>
            </w:r>
          </w:p>
        </w:tc>
        <w:tc>
          <w:tcPr>
            <w:tcW w:type="dxa" w:w="5184"/>
            <w:tcMar>
              <w:top w:w="70" w:type="dxa"/>
              <w:start w:w="80" w:type="dxa"/>
              <w:bottom w:w="70" w:type="dxa"/>
              <w:end w:w="80" w:type="dxa"/>
            </w:tcMar>
            <w:vAlign w:val="top"/>
          </w:tcPr>
          <w:p>
            <w:pPr>
              <w:spacing w:after="0"/>
            </w:pPr>
            <w:r>
              <w:rPr>
                <w:color w:val="12202B"/>
                <w:sz w:val="17"/>
              </w:rPr>
              <w:t>Committed policy result with provenance and cryptographic binding.</w:t>
            </w:r>
          </w:p>
        </w:tc>
      </w:tr>
      <w:tr>
        <w:tc>
          <w:tcPr>
            <w:tcW w:type="dxa" w:w="5184"/>
            <w:tcMar>
              <w:top w:w="70" w:type="dxa"/>
              <w:start w:w="80" w:type="dxa"/>
              <w:bottom w:w="70" w:type="dxa"/>
              <w:end w:w="80" w:type="dxa"/>
            </w:tcMar>
            <w:vAlign w:val="top"/>
          </w:tcPr>
          <w:p>
            <w:pPr>
              <w:spacing w:after="0"/>
            </w:pPr>
            <w:r>
              <w:rPr>
                <w:color w:val="12202B"/>
                <w:sz w:val="17"/>
              </w:rPr>
              <w:t>Evidence Vault</w:t>
            </w:r>
          </w:p>
        </w:tc>
        <w:tc>
          <w:tcPr>
            <w:tcW w:type="dxa" w:w="5184"/>
            <w:tcMar>
              <w:top w:w="70" w:type="dxa"/>
              <w:start w:w="80" w:type="dxa"/>
              <w:bottom w:w="70" w:type="dxa"/>
              <w:end w:w="80" w:type="dxa"/>
            </w:tcMar>
            <w:vAlign w:val="top"/>
          </w:tcPr>
          <w:p>
            <w:pPr>
              <w:spacing w:after="0"/>
            </w:pPr>
            <w:r>
              <w:rPr>
                <w:color w:val="12202B"/>
                <w:sz w:val="17"/>
              </w:rPr>
              <w:t>Logical capability for immutable/tamper-evident evidence, not necessarily one physical database.</w:t>
            </w:r>
          </w:p>
        </w:tc>
      </w:tr>
      <w:tr>
        <w:tc>
          <w:tcPr>
            <w:tcW w:type="dxa" w:w="5184"/>
            <w:tcMar>
              <w:top w:w="70" w:type="dxa"/>
              <w:start w:w="80" w:type="dxa"/>
              <w:bottom w:w="70" w:type="dxa"/>
              <w:end w:w="80" w:type="dxa"/>
            </w:tcMar>
            <w:vAlign w:val="top"/>
          </w:tcPr>
          <w:p>
            <w:pPr>
              <w:spacing w:after="0"/>
            </w:pPr>
            <w:r>
              <w:rPr>
                <w:color w:val="12202B"/>
                <w:sz w:val="17"/>
              </w:rPr>
              <w:t>Waste / rejection path</w:t>
            </w:r>
          </w:p>
        </w:tc>
        <w:tc>
          <w:tcPr>
            <w:tcW w:type="dxa" w:w="5184"/>
            <w:tcMar>
              <w:top w:w="70" w:type="dxa"/>
              <w:start w:w="80" w:type="dxa"/>
              <w:bottom w:w="70" w:type="dxa"/>
              <w:end w:w="80" w:type="dxa"/>
            </w:tcMar>
            <w:vAlign w:val="top"/>
          </w:tcPr>
          <w:p>
            <w:pPr>
              <w:spacing w:after="0"/>
            </w:pPr>
            <w:r>
              <w:rPr>
                <w:color w:val="12202B"/>
                <w:sz w:val="17"/>
              </w:rPr>
              <w:t>Rejected/quarantined payload handling plus retained minimum decision metadata.</w:t>
            </w:r>
          </w:p>
        </w:tc>
      </w:tr>
      <w:tr>
        <w:tc>
          <w:tcPr>
            <w:tcW w:type="dxa" w:w="5184"/>
            <w:tcMar>
              <w:top w:w="70" w:type="dxa"/>
              <w:start w:w="80" w:type="dxa"/>
              <w:bottom w:w="70" w:type="dxa"/>
              <w:end w:w="80" w:type="dxa"/>
            </w:tcMar>
            <w:vAlign w:val="top"/>
          </w:tcPr>
          <w:p>
            <w:pPr>
              <w:spacing w:after="0"/>
            </w:pPr>
            <w:r>
              <w:rPr>
                <w:color w:val="12202B"/>
                <w:sz w:val="17"/>
              </w:rPr>
              <w:t>Determinism</w:t>
            </w:r>
          </w:p>
        </w:tc>
        <w:tc>
          <w:tcPr>
            <w:tcW w:type="dxa" w:w="5184"/>
            <w:tcMar>
              <w:top w:w="70" w:type="dxa"/>
              <w:start w:w="80" w:type="dxa"/>
              <w:bottom w:w="70" w:type="dxa"/>
              <w:end w:w="80" w:type="dxa"/>
            </w:tcMar>
            <w:vAlign w:val="top"/>
          </w:tcPr>
          <w:p>
            <w:pPr>
              <w:spacing w:after="0"/>
            </w:pPr>
            <w:r>
              <w:rPr>
                <w:color w:val="12202B"/>
                <w:sz w:val="17"/>
              </w:rPr>
              <w:t>Replay reproducibility under pinned normalized inputs, policy, engine, and configuration.</w:t>
            </w:r>
          </w:p>
        </w:tc>
      </w:tr>
      <w:tr>
        <w:tc>
          <w:tcPr>
            <w:tcW w:type="dxa" w:w="5184"/>
            <w:tcMar>
              <w:top w:w="70" w:type="dxa"/>
              <w:start w:w="80" w:type="dxa"/>
              <w:bottom w:w="70" w:type="dxa"/>
              <w:end w:w="80" w:type="dxa"/>
            </w:tcMar>
            <w:vAlign w:val="top"/>
          </w:tcPr>
          <w:p>
            <w:pPr>
              <w:spacing w:after="0"/>
            </w:pPr>
            <w:r>
              <w:rPr>
                <w:color w:val="12202B"/>
                <w:sz w:val="17"/>
              </w:rPr>
              <w:t>Model accuracy</w:t>
            </w:r>
          </w:p>
        </w:tc>
        <w:tc>
          <w:tcPr>
            <w:tcW w:type="dxa" w:w="5184"/>
            <w:tcMar>
              <w:top w:w="70" w:type="dxa"/>
              <w:start w:w="80" w:type="dxa"/>
              <w:bottom w:w="70" w:type="dxa"/>
              <w:end w:w="80" w:type="dxa"/>
            </w:tcMar>
            <w:vAlign w:val="top"/>
          </w:tcPr>
          <w:p>
            <w:pPr>
              <w:spacing w:after="0"/>
            </w:pPr>
            <w:r>
              <w:rPr>
                <w:color w:val="12202B"/>
                <w:sz w:val="17"/>
              </w:rPr>
              <w:t>Empirical predictive quality measured on ground truth; not synonymous with determinism.</w:t>
            </w:r>
          </w:p>
        </w:tc>
      </w:tr>
    </w:tbl>
    <w:sectPr w:rsidR="00FC693F" w:rsidRPr="0006063C" w:rsidSect="00034616">
      <w:headerReference w:type="default" r:id="rId16"/>
      <w:footerReference w:type="default" r:id="rId17"/>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5"/>
      </w:rPr>
      <w:t xml:space="preserve">CONFIDENTIAL — ShelfCat Solutions LLC   |   v1.0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2606D"/>
        <w:sz w:val="15"/>
      </w:rPr>
      <w:t xml:space="preserve">CONFIDENTIAL — v1.0   |   Page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2606D"/>
        <w:sz w:val="15"/>
      </w:rPr>
      <w:t xml:space="preserve">CONFIDENTIAL — ShelfCat Solutions LLC   |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5"/>
      </w:rPr>
      <w:t>SHELFCAT SOLUTIONS LLC  |  ENTERPRISE ARCHITECTURE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5"/>
      </w:rPr>
      <w:t>SHELFCAT SOLUTIONS LLC  |  SOURCE ARCHITECTURE DIAGRAMS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5"/>
      </w:rPr>
      <w:t>SHELFCAT SOLUTIONS LLC  |  ENTERPRISE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220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5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65DFFF"/>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B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7CFF8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jpeg"/><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