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Pr>
          <w:tblHeader/>
        </w:trPr>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Pr>
          <w:tblHeader/>
        </w:trPr>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cảnh báo nếu một số lựa chọn có khả năng kéo kết quả theo các hướng khác nhau.</w:t>
      </w:r>
    </w:p>
    <w:p>
      <w:pPr>
        <w:pStyle w:val="ListNumber"/>
      </w:pPr>
      <w:r>
        <w:rPr>
          <w:rFonts w:ascii="Arial" w:hAnsi="Arial" w:eastAsia="Arial"/>
          <w:b w:val="0"/>
          <w:i w:val="0"/>
          <w:color w:val="000000"/>
        </w:rPr>
        <w:t>Tạo Markdown Prompt bằng Prompt Compiler từ structured configuration.</w:t>
      </w:r>
    </w:p>
    <w:p>
      <w:pPr>
        <w:pStyle w:val="ListNumber"/>
      </w:pPr>
      <w:r>
        <w:rPr>
          <w:rFonts w:ascii="Arial" w:hAnsi="Arial" w:eastAsia="Arial"/>
          <w:b w:val="0"/>
          <w:i w:val="0"/>
          <w:color w:val="000000"/>
        </w:rPr>
        <w:t>Review, copy, save hoặc remix cấu hình trước khi thử Prompt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Cảnh báo các kết hợp đáng nghi bằng ngôn ngữ tư vấn, đồng thời cho phép người dùng giữ lựa chọn có chủ ý.</w:t>
      </w:r>
    </w:p>
    <w:p>
      <w:pPr>
        <w:pStyle w:val="ListBullet"/>
      </w:pPr>
      <w:r>
        <w:rPr>
          <w:rFonts w:ascii="Arial" w:hAnsi="Arial" w:eastAsia="Arial"/>
          <w:b w:val="0"/>
          <w:i w:val="0"/>
          <w:color w:val="000000"/>
        </w:rPr>
        <w:t>Lưu cấu hình để người dùng có thể quay lại, sửa đổi, duplicate và remix.</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Conflict warnings chỉ cảnh báo các kết hợp được rule library nhận biết và không chặn người dùng tiếp tục nếu input vẫn hợp lệ.</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có thể được save, load, edit, duplicate or remix và delete bằng localStorage trong MVP; bản cuối kỳ giữ các hành vi này khi chuyển sang database riêng biệt.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conflict detection</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Kết hợp lạ thường nhận cảnh báo, không bị gắn nhãn invalid nếu vẫn có thể là chủ ý sáng tạo.</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Save, load, edit, duplicate or remix, delete và search or filter Saved Configurations.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để hoàn thiện và kiểm thử toàn bộ lifecycle của Saved Configuration. Logical record, identifiers, timestamps, configuration payload và validation boundary phải phản ánh cách cùng aggregate có thể được lưu trong database thật, dù physical storage khác nhau. DOC 03 cung cấp reference relational projection và một SavedConfigurationStore contract cho mục đích này. Database product, access layer, ownership model và migration mechanism thuộc DR-005 nhưng không chặn localStorage MVP; quyết định chỉ trở thành bắt buộc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one-store-contract boundary,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và generated Prompt.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load, edit, remix, filtering và regeneration.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one-store-contract boundary;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Save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errors chặn write; warnings vẫn cho phép Save khi các invariant khác hợp lệ.</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có thuộc MVP hay là grouping feature sau core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bl>
    <w:p>
      <w:pPr>
        <w:spacing w:after="40"/>
      </w:pPr>
    </w:p>
    <w:p>
      <w:pPr>
        <w:pStyle w:val="BodyText"/>
        <w:keepLines w:val="0"/>
      </w:pPr>
      <w:r>
        <w:rPr>
          <w:rFonts w:ascii="Arial" w:hAnsi="Arial" w:eastAsia="Arial"/>
          <w:b w:val="0"/>
          <w:i w:val="0"/>
          <w:color w:val="000000"/>
        </w:rPr>
        <w:t>Project-wide hiện còn 4 câu hỏi hoặc quyết định trong phạm vi DOC 01: Medium gồm OQ-001, OQ-003 và DR-007; Deferred gồm DR-005, quyết định này không chặn MVP nhưng trở thành High trước final DatabaseStore. OQ-001 và OQ-003 đã được giải quyết cho Product nhưng còn mở cho các Workflow chưa research. DR-009 và DR-010 đã đóng quyết định về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v1.6 được dùng làm baseline cho DOC 02 Product and Functional Requirements Specification. Baseline xác nhận editable Prompt không reverse-update configuration, Balanced-only release, catalogue có tối đa 10 Presets mỗi Workflow, 10 Product Presets từ DISC-01, explicit templateProfileId, Built-in or My Prompts separation, confirmation trước destructive Regenerate, validation tại Save, mouse and keyboard support, Chrome or Edge targets, quota-driven localStorage và external API chỉ sau MVP. DOC 02, DOC 03, DOC 04 và DOC 05 phải giữ các quyết định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