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VisualPrompt Studio</w:t>
      </w:r>
    </w:p>
    <w:p>
      <w:pPr>
        <w:pStyle w:val="Subtitle"/>
      </w:pPr>
      <w:r>
        <w:t>Workflow Discovery &amp; Classification</w:t>
      </w:r>
    </w:p>
    <w:p>
      <w:r>
        <w:t>Discovery-led research dossier | v1.0 | 09/10/2026</w:t>
      </w:r>
    </w:p>
    <w:p>
      <w:pPr>
        <w:pStyle w:val="Heading1"/>
      </w:pPr>
      <w:r>
        <w:t>Kết luận và quyết định tiếp theo</w:t>
      </w:r>
    </w:p>
    <w:p>
      <w:r>
        <w:t>Khám phá đã xác định tám candidate Workflow families. Đề xuất chọn Product Advertising &amp; Photography trước: nguồn mẫu dày nhất và phù hợp vertical slice của project. Đây là đề xuất; chưa có Workflow nào được chọn cho full configuration design.</w:t>
      </w:r>
    </w:p>
    <w:tbl>
      <w:tblPr>
        <w:tblStyle w:val="LightShading-Accent1"/>
        <w:tblW w:type="auto" w:w="0"/>
        <w:tblLayout w:type="fixed"/>
        <w:tblLook w:firstColumn="1" w:firstRow="1" w:lastColumn="0" w:lastRow="0" w:noHBand="0" w:noVBand="1" w:val="04A0"/>
      </w:tblPr>
      <w:tblGrid>
        <w:gridCol w:w="4706"/>
        <w:gridCol w:w="4706"/>
      </w:tblGrid>
      <w:tr>
        <w:trPr>
          <w:tblHeader/>
          <w:cantSplit/>
        </w:trPr>
        <w:tc>
          <w:tcPr>
            <w:tcW w:type="dxa" w:w="2381"/>
          </w:tcPr>
          <w:p>
            <w:pPr>
              <w:spacing w:after="80" w:line="240" w:lineRule="auto"/>
            </w:pPr>
            <w:r>
              <w:rPr>
                <w:sz w:val="18"/>
              </w:rPr>
              <w:t>Intake item</w:t>
            </w:r>
          </w:p>
        </w:tc>
        <w:tc>
          <w:tcPr>
            <w:tcW w:type="dxa" w:w="7030"/>
          </w:tcPr>
          <w:p>
            <w:pPr>
              <w:spacing w:after="80" w:line="240" w:lineRule="auto"/>
            </w:pPr>
            <w:r>
              <w:rPr>
                <w:sz w:val="18"/>
              </w:rPr>
              <w:t>Đã xác nhận</w:t>
            </w:r>
          </w:p>
        </w:tc>
      </w:tr>
      <w:tr>
        <w:trPr>
          <w:cantSplit/>
        </w:trPr>
        <w:tc>
          <w:tcPr>
            <w:tcW w:type="dxa" w:w="2381"/>
          </w:tcPr>
          <w:p>
            <w:pPr>
              <w:spacing w:after="80" w:line="240" w:lineRule="auto"/>
            </w:pPr>
            <w:r>
              <w:rPr>
                <w:sz w:val="18"/>
              </w:rPr>
              <w:t>Research mode</w:t>
            </w:r>
          </w:p>
        </w:tc>
        <w:tc>
          <w:tcPr>
            <w:tcW w:type="dxa" w:w="7030"/>
          </w:tcPr>
          <w:p>
            <w:pPr>
              <w:spacing w:after="80" w:line="240" w:lineRule="auto"/>
            </w:pPr>
            <w:r>
              <w:rPr>
                <w:sz w:val="18"/>
              </w:rPr>
              <w:t>Discovery-led</w:t>
            </w:r>
          </w:p>
        </w:tc>
      </w:tr>
      <w:tr>
        <w:trPr>
          <w:cantSplit/>
        </w:trPr>
        <w:tc>
          <w:tcPr>
            <w:tcW w:type="dxa" w:w="2381"/>
          </w:tcPr>
          <w:p>
            <w:pPr>
              <w:spacing w:after="80" w:line="240" w:lineRule="auto"/>
            </w:pPr>
            <w:r>
              <w:rPr>
                <w:sz w:val="18"/>
              </w:rPr>
              <w:t>Discovery domain</w:t>
            </w:r>
          </w:p>
        </w:tc>
        <w:tc>
          <w:tcPr>
            <w:tcW w:type="dxa" w:w="7030"/>
          </w:tcPr>
          <w:p>
            <w:pPr>
              <w:spacing w:after="80" w:line="240" w:lineRule="auto"/>
            </w:pPr>
            <w:r>
              <w:rPr>
                <w:sz w:val="18"/>
              </w:rPr>
              <w:t>Bộ workflow samples và sources đã cung cấp</w:t>
            </w:r>
          </w:p>
        </w:tc>
      </w:tr>
      <w:tr>
        <w:trPr>
          <w:cantSplit/>
        </w:trPr>
        <w:tc>
          <w:tcPr>
            <w:tcW w:type="dxa" w:w="2381"/>
          </w:tcPr>
          <w:p>
            <w:pPr>
              <w:spacing w:after="80" w:line="240" w:lineRule="auto"/>
            </w:pPr>
            <w:r>
              <w:rPr>
                <w:sz w:val="18"/>
              </w:rPr>
              <w:t>Reference sources</w:t>
            </w:r>
          </w:p>
        </w:tc>
        <w:tc>
          <w:tcPr>
            <w:tcW w:type="dxa" w:w="7030"/>
          </w:tcPr>
          <w:p>
            <w:pPr>
              <w:spacing w:after="80" w:line="240" w:lineRule="auto"/>
            </w:pPr>
            <w:r>
              <w:rPr>
                <w:sz w:val="18"/>
              </w:rPr>
              <w:t>Attachments + independent public research</w:t>
            </w:r>
          </w:p>
        </w:tc>
      </w:tr>
      <w:tr>
        <w:trPr>
          <w:cantSplit/>
        </w:trPr>
        <w:tc>
          <w:tcPr>
            <w:tcW w:type="dxa" w:w="2381"/>
          </w:tcPr>
          <w:p>
            <w:pPr>
              <w:spacing w:after="80" w:line="240" w:lineRule="auto"/>
            </w:pPr>
            <w:r>
              <w:rPr>
                <w:sz w:val="18"/>
              </w:rPr>
              <w:t>Scope confirmation</w:t>
            </w:r>
          </w:p>
        </w:tc>
        <w:tc>
          <w:tcPr>
            <w:tcW w:type="dxa" w:w="7030"/>
          </w:tcPr>
          <w:p>
            <w:pPr>
              <w:spacing w:after="80" w:line="240" w:lineRule="auto"/>
            </w:pPr>
            <w:r>
              <w:rPr>
                <w:sz w:val="18"/>
              </w:rPr>
              <w:t>“I approve the scope, please continue”</w:t>
            </w:r>
          </w:p>
        </w:tc>
      </w:tr>
      <w:tr>
        <w:trPr>
          <w:cantSplit/>
        </w:trPr>
        <w:tc>
          <w:tcPr>
            <w:tcW w:type="dxa" w:w="2381"/>
          </w:tcPr>
          <w:p>
            <w:pPr>
              <w:spacing w:after="80" w:line="240" w:lineRule="auto"/>
            </w:pPr>
            <w:r>
              <w:rPr>
                <w:sz w:val="18"/>
              </w:rPr>
              <w:t>Preset quantities</w:t>
            </w:r>
          </w:p>
        </w:tc>
        <w:tc>
          <w:tcPr>
            <w:tcW w:type="dxa" w:w="7030"/>
          </w:tcPr>
          <w:p>
            <w:pPr>
              <w:spacing w:after="80" w:line="240" w:lineRule="auto"/>
            </w:pPr>
            <w:r>
              <w:rPr>
                <w:sz w:val="18"/>
              </w:rPr>
              <w:t>Chưa chọn; deferred tới khi xác nhận Workflow</w:t>
            </w:r>
          </w:p>
        </w:tc>
      </w:tr>
      <w:tr>
        <w:trPr>
          <w:cantSplit/>
        </w:trPr>
        <w:tc>
          <w:tcPr>
            <w:tcW w:type="dxa" w:w="2381"/>
          </w:tcPr>
          <w:p>
            <w:pPr>
              <w:spacing w:after="80" w:line="240" w:lineRule="auto"/>
            </w:pPr>
            <w:r>
              <w:rPr>
                <w:sz w:val="18"/>
              </w:rPr>
              <w:t>Constraints</w:t>
            </w:r>
          </w:p>
        </w:tc>
        <w:tc>
          <w:tcPr>
            <w:tcW w:type="dxa" w:w="7030"/>
          </w:tcPr>
          <w:p>
            <w:pPr>
              <w:spacing w:after="80" w:line="240" w:lineRule="auto"/>
            </w:pPr>
            <w:r>
              <w:rPr>
                <w:sz w:val="18"/>
              </w:rPr>
              <w:t>Không có constraint bổ sung; project baseline dùng để kiểm tra compatibility</w:t>
            </w:r>
          </w:p>
        </w:tc>
      </w:tr>
    </w:tbl>
    <w:p>
      <w:pPr>
        <w:pStyle w:val="Heading2"/>
      </w:pPr>
      <w:r>
        <w:t>Phạm vi deliverable</w:t>
      </w:r>
    </w:p>
    <w:p>
      <w:r>
        <w:t>Dossier và JSON đồng bộ chứa discovery taxonomy, source registry, applicability mappings, authority assessment, correction register, shared techniques, preliminary architecture impacts và selection handoff. Không chứa full field catalogue hoặc selected Preset profiles.</w:t>
      </w:r>
    </w:p>
    <w:p>
      <w:r>
        <w:t>Gate 0: Confirmed. Document Classification: Conditional Pass. Discovery: ready for workflow selection. Gate 5: Incomplete — full design phải hoàn tất trước project approval. Creative effectiveness: Not Empirically Tested.</w:t>
      </w:r>
    </w:p>
    <w:p>
      <w:pPr>
        <w:pStyle w:val="Heading2"/>
      </w:pPr>
      <w:r>
        <w:t>Document control</w:t>
      </w:r>
    </w:p>
    <w:p>
      <w:r>
        <w:t>Revision 1.0: initial discovery inventory sau intake confirmation. JSON companion dùng research IDs độc lập với runtime IDs; không thay đổi persisted schema. Tài liệu dùng tiếng Việt theo project conventions, giữ English technical identifiers.</w:t>
      </w:r>
    </w:p>
    <w:p>
      <w:r>
        <w:br w:type="page"/>
      </w:r>
    </w:p>
    <w:p>
      <w:pPr>
        <w:pStyle w:val="Heading1"/>
      </w:pPr>
      <w:r>
        <w:t>1. Candidate Workflow Selection Matrix</w:t>
      </w:r>
    </w:p>
    <w:p>
      <w:r>
        <w:t>Các research IDs dưới đây không phải WorkflowId mới trong ứng dụng. Tất cả đang ở trạng thái Out of Scope — Discovered, chờ được chọn cho full design.</w:t>
      </w:r>
    </w:p>
    <w:tbl>
      <w:tblPr>
        <w:tblStyle w:val="LightShading-Accent1"/>
        <w:tblW w:type="auto" w:w="0"/>
        <w:tblLayout w:type="fixed"/>
        <w:tblLook w:firstColumn="1" w:firstRow="1" w:lastColumn="0" w:lastRow="0" w:noHBand="0" w:noVBand="1" w:val="04A0"/>
      </w:tblPr>
      <w:tblGrid>
        <w:gridCol w:w="3137"/>
        <w:gridCol w:w="3137"/>
        <w:gridCol w:w="3137"/>
      </w:tblGrid>
      <w:tr>
        <w:trPr>
          <w:tblHeader/>
          <w:cantSplit/>
        </w:trPr>
        <w:tc>
          <w:tcPr>
            <w:tcW w:type="dxa" w:w="2778"/>
          </w:tcPr>
          <w:p>
            <w:pPr>
              <w:spacing w:after="80" w:line="240" w:lineRule="auto"/>
            </w:pPr>
            <w:r>
              <w:rPr>
                <w:sz w:val="18"/>
              </w:rPr>
              <w:t>ID / family</w:t>
            </w:r>
          </w:p>
        </w:tc>
        <w:tc>
          <w:tcPr>
            <w:tcW w:type="dxa" w:w="2438"/>
          </w:tcPr>
          <w:p>
            <w:pPr>
              <w:spacing w:after="80" w:line="240" w:lineRule="auto"/>
            </w:pPr>
            <w:r>
              <w:rPr>
                <w:sz w:val="18"/>
              </w:rPr>
              <w:t>Current baseline mapping</w:t>
            </w:r>
          </w:p>
        </w:tc>
        <w:tc>
          <w:tcPr>
            <w:tcW w:type="dxa" w:w="4195"/>
          </w:tcPr>
          <w:p>
            <w:pPr>
              <w:spacing w:after="80" w:line="240" w:lineRule="auto"/>
            </w:pPr>
            <w:r>
              <w:rPr>
                <w:sz w:val="18"/>
              </w:rPr>
              <w:t>Priority / distinction</w:t>
            </w:r>
          </w:p>
        </w:tc>
      </w:tr>
      <w:tr>
        <w:trPr>
          <w:cantSplit/>
        </w:trPr>
        <w:tc>
          <w:tcPr>
            <w:tcW w:type="dxa" w:w="2778"/>
          </w:tcPr>
          <w:p>
            <w:pPr>
              <w:spacing w:after="80" w:line="240" w:lineRule="auto"/>
            </w:pPr>
            <w:r>
              <w:rPr>
                <w:sz w:val="18"/>
              </w:rPr>
              <w:t>DISC-01</w:t>
              <w:br/>
              <w:t>Product Advertising &amp; Photography</w:t>
            </w:r>
          </w:p>
        </w:tc>
        <w:tc>
          <w:tcPr>
            <w:tcW w:type="dxa" w:w="2438"/>
          </w:tcPr>
          <w:p>
            <w:pPr>
              <w:spacing w:after="80" w:line="240" w:lineRule="auto"/>
            </w:pPr>
            <w:r>
              <w:rPr>
                <w:sz w:val="18"/>
              </w:rPr>
              <w:t>product</w:t>
            </w:r>
          </w:p>
        </w:tc>
        <w:tc>
          <w:tcPr>
            <w:tcW w:type="dxa" w:w="4195"/>
          </w:tcPr>
          <w:p>
            <w:pPr>
              <w:spacing w:after="80" w:line="240" w:lineRule="auto"/>
            </w:pPr>
            <w:r>
              <w:rPr>
                <w:sz w:val="18"/>
              </w:rPr>
              <w:t>P1 — đề xuất nghiên cứu đầy đủ trước</w:t>
              <w:br/>
              <w:t>Tạo hình ảnh sản phẩm rõ ràng, đúng nhận diện và phù hợp mục tiêu thương mại.</w:t>
            </w:r>
          </w:p>
        </w:tc>
      </w:tr>
      <w:tr>
        <w:trPr>
          <w:cantSplit/>
        </w:trPr>
        <w:tc>
          <w:tcPr>
            <w:tcW w:type="dxa" w:w="2778"/>
          </w:tcPr>
          <w:p>
            <w:pPr>
              <w:spacing w:after="80" w:line="240" w:lineRule="auto"/>
            </w:pPr>
            <w:r>
              <w:rPr>
                <w:sz w:val="18"/>
              </w:rPr>
              <w:t>DISC-02</w:t>
              <w:br/>
              <w:t>UGC-Style Lifestyle Still Photography</w:t>
            </w:r>
          </w:p>
        </w:tc>
        <w:tc>
          <w:tcPr>
            <w:tcW w:type="dxa" w:w="2438"/>
          </w:tcPr>
          <w:p>
            <w:pPr>
              <w:spacing w:after="80" w:line="240" w:lineRule="auto"/>
            </w:pPr>
            <w:r>
              <w:rPr>
                <w:sz w:val="18"/>
              </w:rPr>
              <w:t>social hoặc product theo focal objective; tách ID cần quyết định</w:t>
            </w:r>
          </w:p>
        </w:tc>
        <w:tc>
          <w:tcPr>
            <w:tcW w:type="dxa" w:w="4195"/>
          </w:tcPr>
          <w:p>
            <w:pPr>
              <w:spacing w:after="80" w:line="240" w:lineRule="auto"/>
            </w:pPr>
            <w:r>
              <w:rPr>
                <w:sz w:val="18"/>
              </w:rPr>
              <w:t>P2 — nên nghiên cứu sau Product</w:t>
              <w:br/>
              <w:t>Định hướng ảnh tĩnh đời thường có người, sản phẩm hoặc cả hai, với tương tác và bối cảnh tự nhiên.</w:t>
            </w:r>
          </w:p>
        </w:tc>
      </w:tr>
      <w:tr>
        <w:trPr>
          <w:cantSplit/>
        </w:trPr>
        <w:tc>
          <w:tcPr>
            <w:tcW w:type="dxa" w:w="2778"/>
          </w:tcPr>
          <w:p>
            <w:pPr>
              <w:spacing w:after="80" w:line="240" w:lineRule="auto"/>
            </w:pPr>
            <w:r>
              <w:rPr>
                <w:sz w:val="18"/>
              </w:rPr>
              <w:t>DISC-03</w:t>
              <w:br/>
              <w:t>Character &amp; Keyframe Concept</w:t>
            </w:r>
          </w:p>
        </w:tc>
        <w:tc>
          <w:tcPr>
            <w:tcW w:type="dxa" w:w="2438"/>
          </w:tcPr>
          <w:p>
            <w:pPr>
              <w:spacing w:after="80" w:line="240" w:lineRule="auto"/>
            </w:pPr>
            <w:r>
              <w:rPr>
                <w:sz w:val="18"/>
              </w:rPr>
              <w:t>character</w:t>
            </w:r>
          </w:p>
        </w:tc>
        <w:tc>
          <w:tcPr>
            <w:tcW w:type="dxa" w:w="4195"/>
          </w:tcPr>
          <w:p>
            <w:pPr>
              <w:spacing w:after="80" w:line="240" w:lineRule="auto"/>
            </w:pPr>
            <w:r>
              <w:rPr>
                <w:sz w:val="18"/>
              </w:rPr>
              <w:t>P2 — baseline có sẵn nhưng cần nghiên cứu riêng</w:t>
              <w:br/>
              <w:t>Mô tả nhân vật, trang phục, biểu cảm, pose và bối cảnh phục vụ concept hoặc một keyframe tĩnh.</w:t>
            </w:r>
          </w:p>
        </w:tc>
      </w:tr>
      <w:tr>
        <w:trPr>
          <w:cantSplit/>
        </w:trPr>
        <w:tc>
          <w:tcPr>
            <w:tcW w:type="dxa" w:w="2778"/>
          </w:tcPr>
          <w:p>
            <w:pPr>
              <w:spacing w:after="80" w:line="240" w:lineRule="auto"/>
            </w:pPr>
            <w:r>
              <w:rPr>
                <w:sz w:val="18"/>
              </w:rPr>
              <w:t>DISC-04</w:t>
              <w:br/>
              <w:t>Social &amp; Editorial Visual</w:t>
            </w:r>
          </w:p>
        </w:tc>
        <w:tc>
          <w:tcPr>
            <w:tcW w:type="dxa" w:w="2438"/>
          </w:tcPr>
          <w:p>
            <w:pPr>
              <w:spacing w:after="80" w:line="240" w:lineRule="auto"/>
            </w:pPr>
            <w:r>
              <w:rPr>
                <w:sz w:val="18"/>
              </w:rPr>
              <w:t>social</w:t>
            </w:r>
          </w:p>
        </w:tc>
        <w:tc>
          <w:tcPr>
            <w:tcW w:type="dxa" w:w="4195"/>
          </w:tcPr>
          <w:p>
            <w:pPr>
              <w:spacing w:after="80" w:line="240" w:lineRule="auto"/>
            </w:pPr>
            <w:r>
              <w:rPr>
                <w:sz w:val="18"/>
              </w:rPr>
              <w:t>P3 — baseline cho phép cắt breadth khi tiến độ rủi ro</w:t>
              <w:br/>
              <w:t>Tạo visual truyền thông có ý tưởng, layout, audience và không gian cho thông điệp.</w:t>
            </w:r>
          </w:p>
        </w:tc>
      </w:tr>
      <w:tr>
        <w:trPr>
          <w:cantSplit/>
        </w:trPr>
        <w:tc>
          <w:tcPr>
            <w:tcW w:type="dxa" w:w="2778"/>
          </w:tcPr>
          <w:p>
            <w:pPr>
              <w:spacing w:after="80" w:line="240" w:lineRule="auto"/>
            </w:pPr>
            <w:r>
              <w:rPr>
                <w:sz w:val="18"/>
              </w:rPr>
              <w:t>DISC-05</w:t>
              <w:br/>
              <w:t>Illustration &amp; Merchandise Graphic</w:t>
            </w:r>
          </w:p>
        </w:tc>
        <w:tc>
          <w:tcPr>
            <w:tcW w:type="dxa" w:w="2438"/>
          </w:tcPr>
          <w:p>
            <w:pPr>
              <w:spacing w:after="80" w:line="240" w:lineRule="auto"/>
            </w:pPr>
            <w:r>
              <w:rPr>
                <w:sz w:val="18"/>
              </w:rPr>
              <w:t>free-style hiện tại; ID chuyên biệt cần contract review</w:t>
            </w:r>
          </w:p>
        </w:tc>
        <w:tc>
          <w:tcPr>
            <w:tcW w:type="dxa" w:w="4195"/>
          </w:tcPr>
          <w:p>
            <w:pPr>
              <w:spacing w:after="80" w:line="240" w:lineRule="auto"/>
            </w:pPr>
            <w:r>
              <w:rPr>
                <w:sz w:val="18"/>
              </w:rPr>
              <w:t>P3 — mở rộng sau vertical slice</w:t>
              <w:br/>
              <w:t>Định hướng artwork có medium, linework, silhouette, palette và khả năng dùng làm graphic asset.</w:t>
            </w:r>
          </w:p>
        </w:tc>
      </w:tr>
      <w:tr>
        <w:trPr>
          <w:cantSplit/>
        </w:trPr>
        <w:tc>
          <w:tcPr>
            <w:tcW w:type="dxa" w:w="2778"/>
          </w:tcPr>
          <w:p>
            <w:pPr>
              <w:spacing w:after="80" w:line="240" w:lineRule="auto"/>
            </w:pPr>
            <w:r>
              <w:rPr>
                <w:sz w:val="18"/>
              </w:rPr>
              <w:t>DISC-06</w:t>
              <w:br/>
              <w:t>Environment &amp; Scenery Concept</w:t>
            </w:r>
          </w:p>
        </w:tc>
        <w:tc>
          <w:tcPr>
            <w:tcW w:type="dxa" w:w="2438"/>
          </w:tcPr>
          <w:p>
            <w:pPr>
              <w:spacing w:after="80" w:line="240" w:lineRule="auto"/>
            </w:pPr>
            <w:r>
              <w:rPr>
                <w:sz w:val="18"/>
              </w:rPr>
              <w:t>free-style; new guided ID requires contract review</w:t>
            </w:r>
          </w:p>
        </w:tc>
        <w:tc>
          <w:tcPr>
            <w:tcW w:type="dxa" w:w="4195"/>
          </w:tcPr>
          <w:p>
            <w:pPr>
              <w:spacing w:after="80" w:line="240" w:lineRule="auto"/>
            </w:pPr>
            <w:r>
              <w:rPr>
                <w:sz w:val="18"/>
              </w:rPr>
              <w:t>P4 — khám phá mới, giữ ngoài full design tới khi được chọn</w:t>
              <w:br/>
              <w:t>Tạo scene lấy môi trường làm trọng tâm: địa hình, kiến trúc, chiều sâu, thời gian và khí quyển.</w:t>
            </w:r>
          </w:p>
        </w:tc>
      </w:tr>
      <w:tr>
        <w:trPr>
          <w:cantSplit/>
        </w:trPr>
        <w:tc>
          <w:tcPr>
            <w:tcW w:type="dxa" w:w="2778"/>
          </w:tcPr>
          <w:p>
            <w:pPr>
              <w:spacing w:after="80" w:line="240" w:lineRule="auto"/>
            </w:pPr>
            <w:r>
              <w:rPr>
                <w:sz w:val="18"/>
              </w:rPr>
              <w:t>DISC-07</w:t>
              <w:br/>
              <w:t>Portrait &amp; Personal Branding</w:t>
            </w:r>
          </w:p>
        </w:tc>
        <w:tc>
          <w:tcPr>
            <w:tcW w:type="dxa" w:w="2438"/>
          </w:tcPr>
          <w:p>
            <w:pPr>
              <w:spacing w:after="80" w:line="240" w:lineRule="auto"/>
            </w:pPr>
            <w:r>
              <w:rPr>
                <w:sz w:val="18"/>
              </w:rPr>
              <w:t>character hoặc social với adaptation; dedicated ID requires review</w:t>
            </w:r>
          </w:p>
        </w:tc>
        <w:tc>
          <w:tcPr>
            <w:tcW w:type="dxa" w:w="4195"/>
          </w:tcPr>
          <w:p>
            <w:pPr>
              <w:spacing w:after="80" w:line="240" w:lineRule="auto"/>
            </w:pPr>
            <w:r>
              <w:rPr>
                <w:sz w:val="18"/>
              </w:rPr>
              <w:t>P3 — adjacent discovery</w:t>
              <w:br/>
              <w:t>Định hướng chân dung mà người và biểu cảm là mục tiêu chính, từ headshot rõ nét tới environmental portrait.</w:t>
            </w:r>
          </w:p>
        </w:tc>
      </w:tr>
      <w:tr>
        <w:trPr>
          <w:cantSplit/>
        </w:trPr>
        <w:tc>
          <w:tcPr>
            <w:tcW w:type="dxa" w:w="2778"/>
          </w:tcPr>
          <w:p>
            <w:pPr>
              <w:spacing w:after="80" w:line="240" w:lineRule="auto"/>
            </w:pPr>
            <w:r>
              <w:rPr>
                <w:sz w:val="18"/>
              </w:rPr>
              <w:t>DISC-08</w:t>
              <w:br/>
              <w:t>Reference-Preserving Edit &amp; Composite Brief</w:t>
            </w:r>
          </w:p>
        </w:tc>
        <w:tc>
          <w:tcPr>
            <w:tcW w:type="dxa" w:w="2438"/>
          </w:tcPr>
          <w:p>
            <w:pPr>
              <w:spacing w:after="80" w:line="240" w:lineRule="auto"/>
            </w:pPr>
            <w:r>
              <w:rPr>
                <w:sz w:val="18"/>
              </w:rPr>
              <w:t>cross-workflow brief; no edit WorkflowId in current union</w:t>
            </w:r>
          </w:p>
        </w:tc>
        <w:tc>
          <w:tcPr>
            <w:tcW w:type="dxa" w:w="4195"/>
          </w:tcPr>
          <w:p>
            <w:pPr>
              <w:spacing w:after="80" w:line="240" w:lineRule="auto"/>
            </w:pPr>
            <w:r>
              <w:rPr>
                <w:sz w:val="18"/>
              </w:rPr>
              <w:t>P4 — future expansion</w:t>
              <w:br/>
              <w:t>Viết edit brief xác định phần thay đổi, phần phải giữ và cách tích hợp ánh sáng, phối cảnh, vật liệu.</w:t>
            </w:r>
          </w:p>
        </w:tc>
      </w:tr>
    </w:tbl>
    <w:p>
      <w:pPr>
        <w:pStyle w:val="Heading2"/>
      </w:pPr>
      <w:r>
        <w:t>Cách chọn scope</w:t>
      </w:r>
    </w:p>
    <w:p>
      <w:r>
        <w:t>Chọn một hoặc nhiều family và ghi preset count riêng cho từng family. Nếu muốn một phần của Product, hãy nêu catalog, studio, lifestyle hoặc campaign. Full design giữ độc lập từng Workflow được xác nhận và tiếp tục bảo toàn adjacent discoveries.</w:t>
      </w:r>
    </w:p>
    <w:p>
      <w:r>
        <w:t>Đề xuất: DISC-01 trước. Bốn Presets là baseline phát hành MVP trong P02 FR-018, không phải số lượng đã được chọn cho nghiên cứu này. Nếu chọn nhiều hơn bốn, cần phân biệt research portfolio với release subset hoặc ghi proposed requirement change.</w:t>
      </w:r>
    </w:p>
    <w:p>
      <w:r>
        <w:br w:type="page"/>
      </w:r>
    </w:p>
    <w:p>
      <w:pPr>
        <w:pStyle w:val="Heading1"/>
      </w:pPr>
      <w:r>
        <w:t>2. Workflow Definitions — DISC-01 &amp; DISC-02</w:t>
      </w:r>
    </w:p>
    <w:p>
      <w:pPr>
        <w:pStyle w:val="Heading2"/>
      </w:pPr>
      <w:r>
        <w:t>DISC-01 | Product Advertising &amp; Photography</w:t>
      </w:r>
    </w:p>
    <w:p>
      <w:r>
        <w:t>Tạo hình ảnh sản phẩm rõ ràng, đúng nhận diện và phù hợp mục tiêu thương mại.</w:t>
      </w:r>
    </w:p>
    <w:p>
      <w:r>
        <w:t>Target users: eCommerce sellers, marketers, product photographers</w:t>
      </w:r>
    </w:p>
    <w:p>
      <w:r>
        <w:t>Sub-Workflows: Catalog packshot; Styled studio hero; Contextual lifestyle; Material/detail study; Campaign advertisement.</w:t>
      </w:r>
    </w:p>
    <w:p>
      <w:r>
        <w:t>Representative use cases: Ảnh chính của một SKU cụ thể; Ảnh hero cho chiến dịch ra mắt; Ảnh lifestyle cho trang sản phẩm.</w:t>
      </w:r>
    </w:p>
    <w:p>
      <w:r>
        <w:t>Scope boundary: Catalog và quảng cáo là các Sub-Workflows có yêu cầu kênh khác nhau. Không áp CTA hoặc offer overlay vào ảnh chính Google Merchant Center.</w:t>
      </w:r>
    </w:p>
    <w:p>
      <w:r>
        <w:t>Candidate control concepts: Product identity / verified attributes; Channel intent; Placement / surface; Composition / focal priority; Lighting / material response; Copy-space and exclusions. Đây là discovery signals, chưa phải approved FieldIds hoặc value sets.</w:t>
      </w:r>
    </w:p>
    <w:p>
      <w:r>
        <w:t>Evidence: S01, S02, S03, S05, W01, W02, W03. Strong for discovery; creative effectiveness not empirically tested.</w:t>
      </w:r>
    </w:p>
    <w:p>
      <w:r>
        <w:t>Architecture: Compatible with catalogue design. Mapping: product.</w:t>
      </w:r>
    </w:p>
    <w:p>
      <w:r>
        <w:t>Next research decision: Xác nhận ranh giới catalog–advertising; sau đó thiết kế field catalogue và từng Preset profile.</w:t>
      </w:r>
    </w:p>
    <w:p>
      <w:pPr>
        <w:pStyle w:val="Heading2"/>
      </w:pPr>
      <w:r>
        <w:t>DISC-02 | UGC-Style Lifestyle Still Photography</w:t>
      </w:r>
    </w:p>
    <w:p>
      <w:r>
        <w:t>Định hướng ảnh tĩnh đời thường có người, sản phẩm hoặc cả hai, với tương tác và bối cảnh tự nhiên.</w:t>
      </w:r>
    </w:p>
    <w:p>
      <w:r>
        <w:t>Target users: Content creators, performance marketers</w:t>
      </w:r>
    </w:p>
    <w:p>
      <w:r>
        <w:t>Sub-Workflows: Person-only everyday photo; Person–product interaction; Same-setting variation brief.</w:t>
      </w:r>
    </w:p>
    <w:p>
      <w:r>
        <w:t>Representative use cases: Creator holding a skincare bottle; Person-only casual lifestyle concept; Cùng bối cảnh nhưng thay pose hoặc outfit.</w:t>
      </w:r>
    </w:p>
    <w:p>
      <w:r>
        <w:t>Scope boundary: UGC-style là aesthetic mô phỏng; không phải bằng chứng về nội dung do khách hàng thật tạo. Không đưa video hook, audio hoặc shot sequence vào still prompt.</w:t>
      </w:r>
    </w:p>
    <w:p>
      <w:r>
        <w:t>Candidate control concepts: Subject type; Identity details supplied by user; Person–product interaction; Pose / hand placement; Location continuity; Outfit variation / framing. Đây là discovery signals, chưa phải approved FieldIds hoặc value sets.</w:t>
      </w:r>
    </w:p>
    <w:p>
      <w:r>
        <w:t>Evidence: S06, S01, W04, W05, W09. Strong sample evidence; product-only behavior remains uncertain.</w:t>
      </w:r>
    </w:p>
    <w:p>
      <w:r>
        <w:t>Architecture: Compatible with adjustments if kept within existing IDs. Mapping: social hoặc product theo focal objective; tách ID cần quyết định.</w:t>
      </w:r>
    </w:p>
    <w:p>
      <w:r>
        <w:t>Next research decision: Chọn family độc lập hay Sub-Workflow; phân biệt same setting across outputs với preserve reference setting.</w:t>
      </w:r>
    </w:p>
    <w:p>
      <w:r>
        <w:br w:type="page"/>
      </w:r>
    </w:p>
    <w:p>
      <w:pPr>
        <w:pStyle w:val="Heading1"/>
      </w:pPr>
      <w:r>
        <w:t>3. Workflow Definitions — DISC-03 &amp; DISC-04</w:t>
      </w:r>
    </w:p>
    <w:p>
      <w:pPr>
        <w:pStyle w:val="Heading2"/>
      </w:pPr>
      <w:r>
        <w:t>DISC-03 | Character &amp; Keyframe Concept</w:t>
      </w:r>
    </w:p>
    <w:p>
      <w:r>
        <w:t>Mô tả nhân vật, trang phục, biểu cảm, pose và bối cảnh phục vụ concept hoặc một keyframe tĩnh.</w:t>
      </w:r>
    </w:p>
    <w:p>
      <w:r>
        <w:t>Target users: Illustrators, game/concept artists, storytellers</w:t>
      </w:r>
    </w:p>
    <w:p>
      <w:r>
        <w:t>Sub-Workflows: Character introduction; Expression / pose study; Character reference-sheet brief; Narrative keyframe.</w:t>
      </w:r>
    </w:p>
    <w:p>
      <w:r>
        <w:t>Representative use cases: Nhân vật chính trong một cảnh truyện; Character sheet nhiều góc nhìn; Keyframe tĩnh có hành động và focal hierarchy.</w:t>
      </w:r>
    </w:p>
    <w:p>
      <w:r>
        <w:t>Scope boundary: Một keyframe không phải video workflow. Character-sheet consistency là mục tiêu cần đánh giá, không phải kết quả được compiler đảm bảo.</w:t>
      </w:r>
    </w:p>
    <w:p>
      <w:r>
        <w:t>Candidate control concepts: Character identity / silhouette; Costume / accessory; Expression / pose; Action / scene relation; Medium / rendering; Continuity constraints. Đây là discovery signals, chưa phải approved FieldIds hoặc value sets.</w:t>
      </w:r>
    </w:p>
    <w:p>
      <w:r>
        <w:t>Evidence: P01, P02, S04, S07, W06, W07, W08. Moderate to strong for discovery; limited supplied character examples.</w:t>
      </w:r>
    </w:p>
    <w:p>
      <w:r>
        <w:t>Architecture: Compatible with catalogue design; multi-image orchestration deferred. Mapping: character.</w:t>
      </w:r>
    </w:p>
    <w:p>
      <w:r>
        <w:t>Next research decision: Chọn single-character concept hay reference-sheet focus; tránh gộp cả hai vào một profile chung.</w:t>
      </w:r>
    </w:p>
    <w:p>
      <w:pPr>
        <w:pStyle w:val="Heading2"/>
      </w:pPr>
      <w:r>
        <w:t>DISC-04 | Social &amp; Editorial Visual</w:t>
      </w:r>
    </w:p>
    <w:p>
      <w:r>
        <w:t>Tạo visual truyền thông có ý tưởng, layout, audience và không gian cho thông điệp.</w:t>
      </w:r>
    </w:p>
    <w:p>
      <w:r>
        <w:t>Target users: Content creators, editorial designers, marketers</w:t>
      </w:r>
    </w:p>
    <w:p>
      <w:r>
        <w:t>Sub-Workflows: Social announcement visual; Editorial concept image; Campaign poster / banner.</w:t>
      </w:r>
    </w:p>
    <w:p>
      <w:r>
        <w:t>Representative use cases: Launch announcement artwork; Editorial image cho một chủ đề; Poster concept có vùng trống cho headline.</w:t>
      </w:r>
    </w:p>
    <w:p>
      <w:r>
        <w:t>Scope boundary: Không phải mọi ảnh social đều là Product Advertising. Phân loại theo mục tiêu/focal subject; platform format là thuộc tính, không phải Workflow.</w:t>
      </w:r>
    </w:p>
    <w:p>
      <w:r>
        <w:t>Candidate control concepts: Communication objective / audience; Visual metaphor; Focal subject; Layout / copy-space; Medium / palette; Approved text / exclusions. Đây là discovery signals, chưa phải approved FieldIds hoặc value sets.</w:t>
      </w:r>
    </w:p>
    <w:p>
      <w:r>
        <w:t>Evidence: P01, P02, S01, S03, S04, W04, W05, W08. Moderate for discovery; campaign effectiveness unmeasured.</w:t>
      </w:r>
    </w:p>
    <w:p>
      <w:r>
        <w:t>Architecture: Compatible with catalogue design; exact typography requires evaluation. Mapping: social.</w:t>
      </w:r>
    </w:p>
    <w:p>
      <w:r>
        <w:t>Next research decision: Giữ scope ở một still visual; lựa chọn generated text hay post-production copy cần được ghi rõ.</w:t>
      </w:r>
    </w:p>
    <w:p>
      <w:r>
        <w:br w:type="page"/>
      </w:r>
    </w:p>
    <w:p>
      <w:pPr>
        <w:pStyle w:val="Heading1"/>
      </w:pPr>
      <w:r>
        <w:t>4. Workflow Definitions — DISC-05 &amp; DISC-06</w:t>
      </w:r>
    </w:p>
    <w:p>
      <w:pPr>
        <w:pStyle w:val="Heading2"/>
      </w:pPr>
      <w:r>
        <w:t>DISC-05 | Illustration &amp; Merchandise Graphic</w:t>
      </w:r>
    </w:p>
    <w:p>
      <w:r>
        <w:t>Định hướng artwork có medium, linework, silhouette, palette và khả năng dùng làm graphic asset.</w:t>
      </w:r>
    </w:p>
    <w:p>
      <w:r>
        <w:t>Target users: Illustrators, digital sellers, merchandise designers</w:t>
      </w:r>
    </w:p>
    <w:p>
      <w:r>
        <w:t>Sub-Workflows: Character sticker graphic; Decorative illustration; Print-on-demand artwork concept.</w:t>
      </w:r>
    </w:p>
    <w:p>
      <w:r>
        <w:t>Representative use cases: Sticker nhân vật có clear silhouette; Whimsical watercolor illustration; Artwork concept cho áo hoặc sản phẩm in.</w:t>
      </w:r>
    </w:p>
    <w:p>
      <w:r>
        <w:t>Scope boundary: Prompt mô tả watercolor hoặc vector-like không chứng minh output là vector. Transparent background và print-ready là thuộc tính file cần kiểm tra ngoài compiler.</w:t>
      </w:r>
    </w:p>
    <w:p>
      <w:r>
        <w:t>Candidate control concepts: Subject / accessory; Medium; Linework / silhouette; Palette / texture; Isolation / background intent; Production constraints supplied by user. Đây là discovery signals, chưa phải approved FieldIds hoặc value sets.</w:t>
      </w:r>
    </w:p>
    <w:p>
      <w:r>
        <w:t>Evidence: S04, S07, W05, W10, W11. Strong for discovery; production-readiness unverified.</w:t>
      </w:r>
    </w:p>
    <w:p>
      <w:r>
        <w:t>Architecture: Compatible with adjustments in free-style; dedicated guided ID requires change. Mapping: free-style hiện tại; ID chuyên biệt cần contract review.</w:t>
      </w:r>
    </w:p>
    <w:p>
      <w:r>
        <w:t>Next research decision: Chốt digital sticker hay print artwork; không chọn DPI và export guarantees như visual field mặc định.</w:t>
      </w:r>
    </w:p>
    <w:p>
      <w:pPr>
        <w:pStyle w:val="Heading2"/>
      </w:pPr>
      <w:r>
        <w:t>DISC-06 | Environment &amp; Scenery Concept</w:t>
      </w:r>
    </w:p>
    <w:p>
      <w:r>
        <w:t>Tạo scene lấy môi trường làm trọng tâm: địa hình, kiến trúc, chiều sâu, thời gian và khí quyển.</w:t>
      </w:r>
    </w:p>
    <w:p>
      <w:r>
        <w:t>Target users: Environment artists, storytellers, travel/content creators</w:t>
      </w:r>
    </w:p>
    <w:p>
      <w:r>
        <w:t>Sub-Workflows: Natural landscape; Built environment concept; Atmospheric story setting.</w:t>
      </w:r>
    </w:p>
    <w:p>
      <w:r>
        <w:t>Representative use cases: Mountain vista với foreground layers; Futuristic city concept; Scene làm background cho keyframe.</w:t>
      </w:r>
    </w:p>
    <w:p>
      <w:r>
        <w:t>Scope boundary: Product background là Sub-Workflow của Product khi sản phẩm là focal subject. Environment family áp dụng khi scene chính là output objective.</w:t>
      </w:r>
    </w:p>
    <w:p>
      <w:r>
        <w:t>Candidate control concepts: Location / terrain; Foreground–midground–background; Architecture / scale; Time / weather; Light direction / atmosphere; Viewpoint / focal destination. Đây là discovery signals, chưa phải approved FieldIds hoặc value sets.</w:t>
      </w:r>
    </w:p>
    <w:p>
      <w:r>
        <w:t>Evidence: S07, W05, W08, W12. Moderate for discovery; sparse supplied scene-specific examples.</w:t>
      </w:r>
    </w:p>
    <w:p>
      <w:r>
        <w:t>Architecture: Architecture change required for dedicated ID. Mapping: free-style; new guided ID requires contract review.</w:t>
      </w:r>
    </w:p>
    <w:p>
      <w:r>
        <w:t>Next research decision: Chọn photography scenery hay concept-art environment trước khi thiết kế vocabulary.</w:t>
      </w:r>
    </w:p>
    <w:p>
      <w:r>
        <w:br w:type="page"/>
      </w:r>
    </w:p>
    <w:p>
      <w:pPr>
        <w:pStyle w:val="Heading1"/>
      </w:pPr>
      <w:r>
        <w:t>5. Workflow Definitions — DISC-07 &amp; DISC-08</w:t>
      </w:r>
    </w:p>
    <w:p>
      <w:pPr>
        <w:pStyle w:val="Heading2"/>
      </w:pPr>
      <w:r>
        <w:t>DISC-07 | Portrait &amp; Personal Branding</w:t>
      </w:r>
    </w:p>
    <w:p>
      <w:r>
        <w:t>Định hướng chân dung mà người và biểu cảm là mục tiêu chính, từ headshot rõ nét tới environmental portrait.</w:t>
      </w:r>
    </w:p>
    <w:p>
      <w:r>
        <w:t>Target users: Photographers, professionals, personal-brand creators</w:t>
      </w:r>
    </w:p>
    <w:p>
      <w:r>
        <w:t>Sub-Workflows: Professional headshot; Environmental portrait; Expressive studio portrait.</w:t>
      </w:r>
    </w:p>
    <w:p>
      <w:r>
        <w:t>Representative use cases: Profile headshot; Portrait trong không gian làm việc; Moody editorial portrait.</w:t>
      </w:r>
    </w:p>
    <w:p>
      <w:r>
        <w:t>Scope boundary: Khác UGC khi không yêu cầu creator-style advertising hoặc product interaction. Một ảnh có người không tự động thuộc UGC.</w:t>
      </w:r>
    </w:p>
    <w:p>
      <w:r>
        <w:t>Candidate control concepts: Subject description; Expression / gaze; Framing / pose; Natural vs artificial lighting; Environment / background separation; Identity preservation intent. Đây là discovery signals, chưa phải approved FieldIds hoặc value sets.</w:t>
      </w:r>
    </w:p>
    <w:p>
      <w:r>
        <w:t>Evidence: S06, S04, W09, W05. Strong domain guidance; sample support requires adaptation.</w:t>
      </w:r>
    </w:p>
    <w:p>
      <w:r>
        <w:t>Architecture: Compatible with adjustments; dedicated portrait schema not defined. Mapping: character hoặc social với adaptation; dedicated ID requires review.</w:t>
      </w:r>
    </w:p>
    <w:p>
      <w:r>
        <w:t>Next research decision: Chọn identity-preserving portrait hay invented-person concept; độ giống phải được đánh giá bằng output thực.</w:t>
      </w:r>
    </w:p>
    <w:p>
      <w:pPr>
        <w:pStyle w:val="Heading2"/>
      </w:pPr>
      <w:r>
        <w:t>DISC-08 | Reference-Preserving Edit &amp; Composite Brief</w:t>
      </w:r>
    </w:p>
    <w:p>
      <w:r>
        <w:t>Viết edit brief xác định phần thay đổi, phần phải giữ và cách tích hợp ánh sáng, phối cảnh, vật liệu.</w:t>
      </w:r>
    </w:p>
    <w:p>
      <w:r>
        <w:t>Target users: Designers, photo editors, product marketers</w:t>
      </w:r>
    </w:p>
    <w:p>
      <w:r>
        <w:t>Sub-Workflows: Background replacement; Local object removal / replacement; Reference combination; Style-transfer edit.</w:t>
      </w:r>
    </w:p>
    <w:p>
      <w:r>
        <w:t>Representative use cases: Đổi background và giữ sản phẩm; Thay outfit và giữ subject; Ghép đối tượng vào scene có sẵn.</w:t>
      </w:r>
    </w:p>
    <w:p>
      <w:r>
        <w:t>Scope boundary: Đây là workflow authoring edit instructions, không phải runtime editor. Mask tooling, uploads và image generation nằm ngoài no-external-API MVP.</w:t>
      </w:r>
    </w:p>
    <w:p>
      <w:r>
        <w:t>Candidate control concepts: Reference roles; Edit target; Preserved attributes; Allowed changes; Lighting / perspective matching; Output constraints. Đây là discovery signals, chưa phải approved FieldIds hoặc value sets.</w:t>
      </w:r>
    </w:p>
    <w:p>
      <w:r>
        <w:t>Evidence: S03, S04, S05, S07, W03, W05, W07, W11. Strong platform evidence; no empirical test in this run.</w:t>
      </w:r>
    </w:p>
    <w:p>
      <w:r>
        <w:t>Architecture: Architecture change required for integrated editing; text brief can be deferred mode. Mapping: cross-workflow brief; no edit WorkflowId in current union.</w:t>
      </w:r>
    </w:p>
    <w:p>
      <w:r>
        <w:t>Next research decision: Giữ text-only brief hoặc đề xuất edit-mode contract riêng; không tự thêm runtime image handling.</w:t>
      </w:r>
    </w:p>
    <w:p>
      <w:r>
        <w:br w:type="page"/>
      </w:r>
    </w:p>
    <w:p>
      <w:pPr>
        <w:pStyle w:val="Heading1"/>
      </w:pPr>
      <w:r>
        <w:t>6. Classification Rules &amp; Sample Benchmark</w:t>
      </w:r>
    </w:p>
    <w:p>
      <w:r>
        <w:t>Phân loại theo primary creative objective và input/output contract. Một lighting style, aspect ratio hoặc provider control không đủ để tạo Workflow riêng. Một nguồn có thể hỗ trợ nhiều family mà không nhân bản source record.</w:t>
      </w:r>
    </w:p>
    <w:tbl>
      <w:tblPr>
        <w:tblStyle w:val="LightShading-Accent1"/>
        <w:tblW w:type="auto" w:w="0"/>
        <w:tblLayout w:type="fixed"/>
        <w:tblLook w:firstColumn="1" w:firstRow="1" w:lastColumn="0" w:lastRow="0" w:noHBand="0" w:noVBand="1" w:val="04A0"/>
      </w:tblPr>
      <w:tblGrid>
        <w:gridCol w:w="4706"/>
        <w:gridCol w:w="4706"/>
      </w:tblGrid>
      <w:tr>
        <w:trPr>
          <w:tblHeader/>
          <w:cantSplit/>
        </w:trPr>
        <w:tc>
          <w:tcPr>
            <w:tcW w:type="dxa" w:w="2948"/>
          </w:tcPr>
          <w:p>
            <w:pPr>
              <w:spacing w:after="80" w:line="240" w:lineRule="auto"/>
            </w:pPr>
            <w:r>
              <w:rPr>
                <w:sz w:val="18"/>
              </w:rPr>
              <w:t>Concept</w:t>
            </w:r>
          </w:p>
        </w:tc>
        <w:tc>
          <w:tcPr>
            <w:tcW w:type="dxa" w:w="6463"/>
          </w:tcPr>
          <w:p>
            <w:pPr>
              <w:spacing w:after="80" w:line="240" w:lineRule="auto"/>
            </w:pPr>
            <w:r>
              <w:rPr>
                <w:sz w:val="18"/>
              </w:rPr>
              <w:t>Classification</w:t>
            </w:r>
          </w:p>
        </w:tc>
      </w:tr>
      <w:tr>
        <w:trPr>
          <w:cantSplit/>
        </w:trPr>
        <w:tc>
          <w:tcPr>
            <w:tcW w:type="dxa" w:w="2948"/>
          </w:tcPr>
          <w:p>
            <w:pPr>
              <w:spacing w:after="80" w:line="240" w:lineRule="auto"/>
            </w:pPr>
            <w:r>
              <w:rPr>
                <w:sz w:val="18"/>
              </w:rPr>
              <w:t>Rim lighting</w:t>
            </w:r>
          </w:p>
        </w:tc>
        <w:tc>
          <w:tcPr>
            <w:tcW w:type="dxa" w:w="6463"/>
          </w:tcPr>
          <w:p>
            <w:pPr>
              <w:spacing w:after="80" w:line="240" w:lineRule="auto"/>
            </w:pPr>
            <w:r>
              <w:rPr>
                <w:sz w:val="18"/>
              </w:rPr>
              <w:t>Shared technique / potential field option</w:t>
            </w:r>
          </w:p>
        </w:tc>
      </w:tr>
      <w:tr>
        <w:trPr>
          <w:cantSplit/>
        </w:trPr>
        <w:tc>
          <w:tcPr>
            <w:tcW w:type="dxa" w:w="2948"/>
          </w:tcPr>
          <w:p>
            <w:pPr>
              <w:spacing w:after="80" w:line="240" w:lineRule="auto"/>
            </w:pPr>
            <w:r>
              <w:rPr>
                <w:sz w:val="18"/>
              </w:rPr>
              <w:t>9:16</w:t>
            </w:r>
          </w:p>
        </w:tc>
        <w:tc>
          <w:tcPr>
            <w:tcW w:type="dxa" w:w="6463"/>
          </w:tcPr>
          <w:p>
            <w:pPr>
              <w:spacing w:after="80" w:line="240" w:lineRule="auto"/>
            </w:pPr>
            <w:r>
              <w:rPr>
                <w:sz w:val="18"/>
              </w:rPr>
              <w:t>Format value, not workflow</w:t>
            </w:r>
          </w:p>
        </w:tc>
      </w:tr>
      <w:tr>
        <w:trPr>
          <w:cantSplit/>
        </w:trPr>
        <w:tc>
          <w:tcPr>
            <w:tcW w:type="dxa" w:w="2948"/>
          </w:tcPr>
          <w:p>
            <w:pPr>
              <w:spacing w:after="80" w:line="240" w:lineRule="auto"/>
            </w:pPr>
            <w:r>
              <w:rPr>
                <w:sz w:val="18"/>
              </w:rPr>
              <w:t>Luxury studio hero</w:t>
            </w:r>
          </w:p>
        </w:tc>
        <w:tc>
          <w:tcPr>
            <w:tcW w:type="dxa" w:w="6463"/>
          </w:tcPr>
          <w:p>
            <w:pPr>
              <w:spacing w:after="80" w:line="240" w:lineRule="auto"/>
            </w:pPr>
            <w:r>
              <w:rPr>
                <w:sz w:val="18"/>
              </w:rPr>
              <w:t>Potential Product preset family/candidate; not selected preset</w:t>
            </w:r>
          </w:p>
        </w:tc>
      </w:tr>
      <w:tr>
        <w:trPr>
          <w:cantSplit/>
        </w:trPr>
        <w:tc>
          <w:tcPr>
            <w:tcW w:type="dxa" w:w="2948"/>
          </w:tcPr>
          <w:p>
            <w:pPr>
              <w:spacing w:after="80" w:line="240" w:lineRule="auto"/>
            </w:pPr>
            <w:r>
              <w:rPr>
                <w:sz w:val="18"/>
              </w:rPr>
              <w:t>Omni Reference</w:t>
            </w:r>
          </w:p>
        </w:tc>
        <w:tc>
          <w:tcPr>
            <w:tcW w:type="dxa" w:w="6463"/>
          </w:tcPr>
          <w:p>
            <w:pPr>
              <w:spacing w:after="80" w:line="240" w:lineRule="auto"/>
            </w:pPr>
            <w:r>
              <w:rPr>
                <w:sz w:val="18"/>
              </w:rPr>
              <w:t>Versioned platform capability</w:t>
            </w:r>
          </w:p>
        </w:tc>
      </w:tr>
      <w:tr>
        <w:trPr>
          <w:cantSplit/>
        </w:trPr>
        <w:tc>
          <w:tcPr>
            <w:tcW w:type="dxa" w:w="2948"/>
          </w:tcPr>
          <w:p>
            <w:pPr>
              <w:spacing w:after="80" w:line="240" w:lineRule="auto"/>
            </w:pPr>
            <w:r>
              <w:rPr>
                <w:sz w:val="18"/>
              </w:rPr>
              <w:t>Scene-only background</w:t>
            </w:r>
          </w:p>
        </w:tc>
        <w:tc>
          <w:tcPr>
            <w:tcW w:type="dxa" w:w="6463"/>
          </w:tcPr>
          <w:p>
            <w:pPr>
              <w:spacing w:after="80" w:line="240" w:lineRule="auto"/>
            </w:pPr>
            <w:r>
              <w:rPr>
                <w:sz w:val="18"/>
              </w:rPr>
              <w:t>Product Sub-Workflow</w:t>
            </w:r>
          </w:p>
        </w:tc>
      </w:tr>
      <w:tr>
        <w:trPr>
          <w:cantSplit/>
        </w:trPr>
        <w:tc>
          <w:tcPr>
            <w:tcW w:type="dxa" w:w="2948"/>
          </w:tcPr>
          <w:p>
            <w:pPr>
              <w:spacing w:after="80" w:line="240" w:lineRule="auto"/>
            </w:pPr>
            <w:r>
              <w:rPr>
                <w:sz w:val="18"/>
              </w:rPr>
              <w:t>Free Style</w:t>
            </w:r>
          </w:p>
        </w:tc>
        <w:tc>
          <w:tcPr>
            <w:tcW w:type="dxa" w:w="6463"/>
          </w:tcPr>
          <w:p>
            <w:pPr>
              <w:spacing w:after="80" w:line="240" w:lineRule="auto"/>
            </w:pPr>
            <w:r>
              <w:rPr>
                <w:sz w:val="18"/>
              </w:rPr>
              <w:t>Existing authoring mode/fallback, not a bounded creative-domain family</w:t>
            </w:r>
          </w:p>
        </w:tc>
      </w:tr>
      <w:tr>
        <w:trPr>
          <w:cantSplit/>
        </w:trPr>
        <w:tc>
          <w:tcPr>
            <w:tcW w:type="dxa" w:w="2948"/>
          </w:tcPr>
          <w:p>
            <w:pPr>
              <w:spacing w:after="80" w:line="240" w:lineRule="auto"/>
            </w:pPr>
            <w:r>
              <w:rPr>
                <w:sz w:val="18"/>
              </w:rPr>
              <w:t>Prompt variation count</w:t>
            </w:r>
          </w:p>
        </w:tc>
        <w:tc>
          <w:tcPr>
            <w:tcW w:type="dxa" w:w="6463"/>
          </w:tcPr>
          <w:p>
            <w:pPr>
              <w:spacing w:after="80" w:line="240" w:lineRule="auto"/>
            </w:pPr>
            <w:r>
              <w:rPr>
                <w:sz w:val="18"/>
              </w:rPr>
              <w:t>Output-batch behavior, distinct from research preset count</w:t>
            </w:r>
          </w:p>
        </w:tc>
      </w:tr>
    </w:tbl>
    <w:p>
      <w:pPr>
        <w:pStyle w:val="Heading2"/>
      </w:pPr>
      <w:r>
        <w:t>Sáu sample không tạo sáu independent Workflows</w:t>
      </w:r>
    </w:p>
    <w:tbl>
      <w:tblPr>
        <w:tblStyle w:val="LightShading-Accent1"/>
        <w:tblW w:type="auto" w:w="0"/>
        <w:tblLayout w:type="fixed"/>
        <w:tblLook w:firstColumn="1" w:firstRow="1" w:lastColumn="0" w:lastRow="0" w:noHBand="0" w:noVBand="1" w:val="04A0"/>
      </w:tblPr>
      <w:tblGrid>
        <w:gridCol w:w="3137"/>
        <w:gridCol w:w="3137"/>
        <w:gridCol w:w="3137"/>
      </w:tblGrid>
      <w:tr>
        <w:trPr>
          <w:tblHeader/>
          <w:cantSplit/>
        </w:trPr>
        <w:tc>
          <w:tcPr>
            <w:tcW w:type="dxa" w:w="1134"/>
          </w:tcPr>
          <w:p>
            <w:pPr>
              <w:spacing w:after="80" w:line="240" w:lineRule="auto"/>
            </w:pPr>
            <w:r>
              <w:rPr>
                <w:sz w:val="18"/>
              </w:rPr>
              <w:t>Sample</w:t>
            </w:r>
          </w:p>
        </w:tc>
        <w:tc>
          <w:tcPr>
            <w:tcW w:type="dxa" w:w="3742"/>
          </w:tcPr>
          <w:p>
            <w:pPr>
              <w:spacing w:after="80" w:line="240" w:lineRule="auto"/>
            </w:pPr>
            <w:r>
              <w:rPr>
                <w:sz w:val="18"/>
              </w:rPr>
              <w:t>Useful contribution</w:t>
            </w:r>
          </w:p>
        </w:tc>
        <w:tc>
          <w:tcPr>
            <w:tcW w:type="dxa" w:w="4535"/>
          </w:tcPr>
          <w:p>
            <w:pPr>
              <w:spacing w:after="80" w:line="240" w:lineRule="auto"/>
            </w:pPr>
            <w:r>
              <w:rPr>
                <w:sz w:val="18"/>
              </w:rPr>
              <w:t>Limit / adaptation</w:t>
            </w:r>
          </w:p>
        </w:tc>
      </w:tr>
      <w:tr>
        <w:trPr>
          <w:cantSplit/>
        </w:trPr>
        <w:tc>
          <w:tcPr>
            <w:tcW w:type="dxa" w:w="1134"/>
          </w:tcPr>
          <w:p>
            <w:pPr>
              <w:spacing w:after="80" w:line="240" w:lineRule="auto"/>
            </w:pPr>
            <w:r>
              <w:rPr>
                <w:sz w:val="18"/>
              </w:rPr>
              <w:t>S01</w:t>
            </w:r>
          </w:p>
        </w:tc>
        <w:tc>
          <w:tcPr>
            <w:tcW w:type="dxa" w:w="3742"/>
          </w:tcPr>
          <w:p>
            <w:pPr>
              <w:spacing w:after="80" w:line="240" w:lineRule="auto"/>
            </w:pPr>
            <w:r>
              <w:rPr>
                <w:sz w:val="18"/>
              </w:rPr>
              <w:t>Campaign objective + product identity + creative variations</w:t>
            </w:r>
          </w:p>
        </w:tc>
        <w:tc>
          <w:tcPr>
            <w:tcW w:type="dxa" w:w="4535"/>
          </w:tcPr>
          <w:p>
            <w:pPr>
              <w:spacing w:after="80" w:line="240" w:lineRule="auto"/>
            </w:pPr>
            <w:r>
              <w:rPr>
                <w:sz w:val="18"/>
              </w:rPr>
              <w:t>Product advertising; video guidance excluded from still scope.</w:t>
            </w:r>
          </w:p>
        </w:tc>
      </w:tr>
      <w:tr>
        <w:trPr>
          <w:cantSplit/>
        </w:trPr>
        <w:tc>
          <w:tcPr>
            <w:tcW w:type="dxa" w:w="1134"/>
          </w:tcPr>
          <w:p>
            <w:pPr>
              <w:spacing w:after="80" w:line="240" w:lineRule="auto"/>
            </w:pPr>
            <w:r>
              <w:rPr>
                <w:sz w:val="18"/>
              </w:rPr>
              <w:t>S02</w:t>
            </w:r>
          </w:p>
        </w:tc>
        <w:tc>
          <w:tcPr>
            <w:tcW w:type="dxa" w:w="3742"/>
          </w:tcPr>
          <w:p>
            <w:pPr>
              <w:spacing w:after="80" w:line="240" w:lineRule="auto"/>
            </w:pPr>
            <w:r>
              <w:rPr>
                <w:sz w:val="18"/>
              </w:rPr>
              <w:t>Scene-only placement/composition/props/palette/light</w:t>
            </w:r>
          </w:p>
        </w:tc>
        <w:tc>
          <w:tcPr>
            <w:tcW w:type="dxa" w:w="4535"/>
          </w:tcPr>
          <w:p>
            <w:pPr>
              <w:spacing w:after="80" w:line="240" w:lineRule="auto"/>
            </w:pPr>
            <w:r>
              <w:rPr>
                <w:sz w:val="18"/>
              </w:rPr>
              <w:t>Product reference accompanies prompt; product naming deliberately omitted.</w:t>
            </w:r>
          </w:p>
        </w:tc>
      </w:tr>
      <w:tr>
        <w:trPr>
          <w:cantSplit/>
        </w:trPr>
        <w:tc>
          <w:tcPr>
            <w:tcW w:type="dxa" w:w="1134"/>
          </w:tcPr>
          <w:p>
            <w:pPr>
              <w:spacing w:after="80" w:line="240" w:lineRule="auto"/>
            </w:pPr>
            <w:r>
              <w:rPr>
                <w:sz w:val="18"/>
              </w:rPr>
              <w:t>S03</w:t>
            </w:r>
          </w:p>
        </w:tc>
        <w:tc>
          <w:tcPr>
            <w:tcW w:type="dxa" w:w="3742"/>
          </w:tcPr>
          <w:p>
            <w:pPr>
              <w:spacing w:after="80" w:line="240" w:lineRule="auto"/>
            </w:pPr>
            <w:r>
              <w:rPr>
                <w:sz w:val="18"/>
              </w:rPr>
              <w:t>Creative specification and settings/handoff separation</w:t>
            </w:r>
          </w:p>
        </w:tc>
        <w:tc>
          <w:tcPr>
            <w:tcW w:type="dxa" w:w="4535"/>
          </w:tcPr>
          <w:p>
            <w:pPr>
              <w:spacing w:after="80" w:line="240" w:lineRule="auto"/>
            </w:pPr>
            <w:r>
              <w:rPr>
                <w:sz w:val="18"/>
              </w:rPr>
              <w:t>External link/parameter contract unverified; not a provider-neutral baseline.</w:t>
            </w:r>
          </w:p>
        </w:tc>
      </w:tr>
      <w:tr>
        <w:trPr>
          <w:cantSplit/>
        </w:trPr>
        <w:tc>
          <w:tcPr>
            <w:tcW w:type="dxa" w:w="1134"/>
          </w:tcPr>
          <w:p>
            <w:pPr>
              <w:spacing w:after="80" w:line="240" w:lineRule="auto"/>
            </w:pPr>
            <w:r>
              <w:rPr>
                <w:sz w:val="18"/>
              </w:rPr>
              <w:t>S04</w:t>
            </w:r>
          </w:p>
        </w:tc>
        <w:tc>
          <w:tcPr>
            <w:tcW w:type="dxa" w:w="3742"/>
          </w:tcPr>
          <w:p>
            <w:pPr>
              <w:spacing w:after="80" w:line="240" w:lineRule="auto"/>
            </w:pPr>
            <w:r>
              <w:rPr>
                <w:sz w:val="18"/>
              </w:rPr>
              <w:t>Reference translation, illustration, editable variables</w:t>
            </w:r>
          </w:p>
        </w:tc>
        <w:tc>
          <w:tcPr>
            <w:tcW w:type="dxa" w:w="4535"/>
          </w:tcPr>
          <w:p>
            <w:pPr>
              <w:spacing w:after="80" w:line="240" w:lineRule="auto"/>
            </w:pPr>
            <w:r>
              <w:rPr>
                <w:sz w:val="18"/>
              </w:rPr>
              <w:t>Hypothetical illustration; no proven reference-image analysis accuracy.</w:t>
            </w:r>
          </w:p>
        </w:tc>
      </w:tr>
      <w:tr>
        <w:trPr>
          <w:cantSplit/>
        </w:trPr>
        <w:tc>
          <w:tcPr>
            <w:tcW w:type="dxa" w:w="1134"/>
          </w:tcPr>
          <w:p>
            <w:pPr>
              <w:spacing w:after="80" w:line="240" w:lineRule="auto"/>
            </w:pPr>
            <w:r>
              <w:rPr>
                <w:sz w:val="18"/>
              </w:rPr>
              <w:t>S05</w:t>
            </w:r>
          </w:p>
        </w:tc>
        <w:tc>
          <w:tcPr>
            <w:tcW w:type="dxa" w:w="3742"/>
          </w:tcPr>
          <w:p>
            <w:pPr>
              <w:spacing w:after="80" w:line="240" w:lineRule="auto"/>
            </w:pPr>
            <w:r>
              <w:rPr>
                <w:sz w:val="18"/>
              </w:rPr>
              <w:t>Identity-preserving product lifestyle scenes and revisions</w:t>
            </w:r>
          </w:p>
        </w:tc>
        <w:tc>
          <w:tcPr>
            <w:tcW w:type="dxa" w:w="4535"/>
          </w:tcPr>
          <w:p>
            <w:pPr>
              <w:spacing w:after="80" w:line="240" w:lineRule="auto"/>
            </w:pPr>
            <w:r>
              <w:rPr>
                <w:sz w:val="18"/>
              </w:rPr>
              <w:t>Overlaps S01/S02; exactly-three behavior is sample-specific.</w:t>
            </w:r>
          </w:p>
        </w:tc>
      </w:tr>
      <w:tr>
        <w:trPr>
          <w:cantSplit/>
        </w:trPr>
        <w:tc>
          <w:tcPr>
            <w:tcW w:type="dxa" w:w="1134"/>
          </w:tcPr>
          <w:p>
            <w:pPr>
              <w:spacing w:after="80" w:line="240" w:lineRule="auto"/>
            </w:pPr>
            <w:r>
              <w:rPr>
                <w:sz w:val="18"/>
              </w:rPr>
              <w:t>S06</w:t>
            </w:r>
          </w:p>
        </w:tc>
        <w:tc>
          <w:tcPr>
            <w:tcW w:type="dxa" w:w="3742"/>
          </w:tcPr>
          <w:p>
            <w:pPr>
              <w:spacing w:after="80" w:line="240" w:lineRule="auto"/>
            </w:pPr>
            <w:r>
              <w:rPr>
                <w:sz w:val="18"/>
              </w:rPr>
              <w:t>Everyday people scenes, hand positions, outfit/pose continuity</w:t>
            </w:r>
          </w:p>
        </w:tc>
        <w:tc>
          <w:tcPr>
            <w:tcW w:type="dxa" w:w="4535"/>
          </w:tcPr>
          <w:p>
            <w:pPr>
              <w:spacing w:after="80" w:line="240" w:lineRule="auto"/>
            </w:pPr>
            <w:r>
              <w:rPr>
                <w:sz w:val="18"/>
              </w:rPr>
              <w:t>Person-only example; five variations do not establish preset quantity.</w:t>
            </w:r>
          </w:p>
        </w:tc>
      </w:tr>
    </w:tbl>
    <w:p>
      <w:r>
        <w:t>Strengths: concrete vocabulary, traceable creative constraints and coherent scene structures. Weaknesses: reconstructed rather than independently measured behavior; no referenced original image files; simulated comparisons and fixed output counts that cannot be treated as product requirements.</w:t>
      </w:r>
    </w:p>
    <w:p>
      <w:r>
        <w:br w:type="page"/>
      </w:r>
    </w:p>
    <w:p>
      <w:pPr>
        <w:pStyle w:val="Heading1"/>
      </w:pPr>
      <w:r>
        <w:t>7. Document Registry &amp; Authority Assessment</w:t>
      </w:r>
    </w:p>
    <w:p>
      <w:r>
        <w:t>Inventory: 12 supplied files; 14 opened primary web references. One canonical record per source. Relevant headings, paragraphs, tables, templates and evidence limitations inspected. Linked URLs retained separately as unverified leads.</w:t>
      </w:r>
    </w:p>
    <w:tbl>
      <w:tblPr>
        <w:tblStyle w:val="LightShading-Accent1"/>
        <w:tblW w:type="auto" w:w="0"/>
        <w:tblLayout w:type="fixed"/>
        <w:tblLook w:firstColumn="1" w:firstRow="1" w:lastColumn="0" w:lastRow="0" w:noHBand="0" w:noVBand="1" w:val="04A0"/>
      </w:tblPr>
      <w:tblGrid>
        <w:gridCol w:w="3137"/>
        <w:gridCol w:w="3137"/>
        <w:gridCol w:w="3137"/>
      </w:tblGrid>
      <w:tr>
        <w:trPr>
          <w:tblHeader/>
          <w:cantSplit/>
        </w:trPr>
        <w:tc>
          <w:tcPr>
            <w:tcW w:type="dxa" w:w="4195"/>
          </w:tcPr>
          <w:p>
            <w:pPr>
              <w:spacing w:after="80" w:line="240" w:lineRule="auto"/>
            </w:pPr>
            <w:r>
              <w:rPr>
                <w:sz w:val="18"/>
              </w:rPr>
              <w:t>ID / source</w:t>
            </w:r>
          </w:p>
        </w:tc>
        <w:tc>
          <w:tcPr>
            <w:tcW w:type="dxa" w:w="1304"/>
          </w:tcPr>
          <w:p>
            <w:pPr>
              <w:spacing w:after="80" w:line="240" w:lineRule="auto"/>
            </w:pPr>
            <w:r>
              <w:rPr>
                <w:sz w:val="18"/>
              </w:rPr>
              <w:t>Classification</w:t>
            </w:r>
          </w:p>
        </w:tc>
        <w:tc>
          <w:tcPr>
            <w:tcW w:type="dxa" w:w="3912"/>
          </w:tcPr>
          <w:p>
            <w:pPr>
              <w:spacing w:after="80" w:line="240" w:lineRule="auto"/>
            </w:pPr>
            <w:r>
              <w:rPr>
                <w:sz w:val="18"/>
              </w:rPr>
              <w:t>Authority / use</w:t>
            </w:r>
          </w:p>
        </w:tc>
      </w:tr>
      <w:tr>
        <w:trPr>
          <w:cantSplit/>
        </w:trPr>
        <w:tc>
          <w:tcPr>
            <w:tcW w:type="dxa" w:w="4195"/>
          </w:tcPr>
          <w:p>
            <w:pPr>
              <w:spacing w:after="80" w:line="240" w:lineRule="auto"/>
            </w:pPr>
            <w:r>
              <w:rPr>
                <w:sz w:val="18"/>
              </w:rPr>
              <w:t>S00 | image-workflow-research-v2.md</w:t>
            </w:r>
          </w:p>
        </w:tc>
        <w:tc>
          <w:tcPr>
            <w:tcW w:type="dxa" w:w="1304"/>
          </w:tcPr>
          <w:p>
            <w:pPr>
              <w:spacing w:after="80" w:line="240" w:lineRule="auto"/>
            </w:pPr>
            <w:r>
              <w:rPr>
                <w:sz w:val="18"/>
              </w:rPr>
              <w:t>Governing process; E,J,I</w:t>
            </w:r>
          </w:p>
        </w:tc>
        <w:tc>
          <w:tcPr>
            <w:tcW w:type="dxa" w:w="3912"/>
          </w:tcPr>
          <w:p>
            <w:pPr>
              <w:spacing w:after="80" w:line="240" w:lineRule="auto"/>
            </w:pPr>
            <w:r>
              <w:rPr>
                <w:sz w:val="18"/>
              </w:rPr>
              <w:t>User-invoked coordinator; not a product approval</w:t>
            </w:r>
          </w:p>
        </w:tc>
      </w:tr>
      <w:tr>
        <w:trPr>
          <w:cantSplit/>
        </w:trPr>
        <w:tc>
          <w:tcPr>
            <w:tcW w:type="dxa" w:w="4195"/>
          </w:tcPr>
          <w:p>
            <w:pPr>
              <w:spacing w:after="80" w:line="240" w:lineRule="auto"/>
            </w:pPr>
            <w:r>
              <w:rPr>
                <w:sz w:val="18"/>
              </w:rPr>
              <w:t>S01 | workflow1.md</w:t>
            </w:r>
          </w:p>
        </w:tc>
        <w:tc>
          <w:tcPr>
            <w:tcW w:type="dxa" w:w="1304"/>
          </w:tcPr>
          <w:p>
            <w:pPr>
              <w:spacing w:after="80" w:line="240" w:lineRule="auto"/>
            </w:pPr>
            <w:r>
              <w:rPr>
                <w:sz w:val="18"/>
              </w:rPr>
              <w:t>G; F,H,I</w:t>
            </w:r>
          </w:p>
        </w:tc>
        <w:tc>
          <w:tcPr>
            <w:tcW w:type="dxa" w:w="3912"/>
          </w:tcPr>
          <w:p>
            <w:pPr>
              <w:spacing w:after="80" w:line="240" w:lineRule="auto"/>
            </w:pPr>
            <w:r>
              <w:rPr>
                <w:sz w:val="18"/>
              </w:rPr>
              <w:t>Sample; reported observations not independently reproduced</w:t>
            </w:r>
          </w:p>
        </w:tc>
      </w:tr>
      <w:tr>
        <w:trPr>
          <w:cantSplit/>
        </w:trPr>
        <w:tc>
          <w:tcPr>
            <w:tcW w:type="dxa" w:w="4195"/>
          </w:tcPr>
          <w:p>
            <w:pPr>
              <w:spacing w:after="80" w:line="240" w:lineRule="auto"/>
            </w:pPr>
            <w:r>
              <w:rPr>
                <w:sz w:val="18"/>
              </w:rPr>
              <w:t>S02 | workflow2.md</w:t>
            </w:r>
          </w:p>
        </w:tc>
        <w:tc>
          <w:tcPr>
            <w:tcW w:type="dxa" w:w="1304"/>
          </w:tcPr>
          <w:p>
            <w:pPr>
              <w:spacing w:after="80" w:line="240" w:lineRule="auto"/>
            </w:pPr>
            <w:r>
              <w:rPr>
                <w:sz w:val="18"/>
              </w:rPr>
              <w:t>G; H,I,J</w:t>
            </w:r>
          </w:p>
        </w:tc>
        <w:tc>
          <w:tcPr>
            <w:tcW w:type="dxa" w:w="3912"/>
          </w:tcPr>
          <w:p>
            <w:pPr>
              <w:spacing w:after="80" w:line="240" w:lineRule="auto"/>
            </w:pPr>
            <w:r>
              <w:rPr>
                <w:sz w:val="18"/>
              </w:rPr>
              <w:t>Sample; inferred functionality</w:t>
            </w:r>
          </w:p>
        </w:tc>
      </w:tr>
      <w:tr>
        <w:trPr>
          <w:cantSplit/>
        </w:trPr>
        <w:tc>
          <w:tcPr>
            <w:tcW w:type="dxa" w:w="4195"/>
          </w:tcPr>
          <w:p>
            <w:pPr>
              <w:spacing w:after="80" w:line="240" w:lineRule="auto"/>
            </w:pPr>
            <w:r>
              <w:rPr>
                <w:sz w:val="18"/>
              </w:rPr>
              <w:t>S03 | workflow3.md</w:t>
            </w:r>
          </w:p>
        </w:tc>
        <w:tc>
          <w:tcPr>
            <w:tcW w:type="dxa" w:w="1304"/>
          </w:tcPr>
          <w:p>
            <w:pPr>
              <w:spacing w:after="80" w:line="240" w:lineRule="auto"/>
            </w:pPr>
            <w:r>
              <w:rPr>
                <w:sz w:val="18"/>
              </w:rPr>
              <w:t>G; C,H,J</w:t>
            </w:r>
          </w:p>
        </w:tc>
        <w:tc>
          <w:tcPr>
            <w:tcW w:type="dxa" w:w="3912"/>
          </w:tcPr>
          <w:p>
            <w:pPr>
              <w:spacing w:after="80" w:line="240" w:lineRule="auto"/>
            </w:pPr>
            <w:r>
              <w:rPr>
                <w:sz w:val="18"/>
              </w:rPr>
              <w:t>Sample; external handoff contract unverified</w:t>
            </w:r>
          </w:p>
        </w:tc>
      </w:tr>
      <w:tr>
        <w:trPr>
          <w:cantSplit/>
        </w:trPr>
        <w:tc>
          <w:tcPr>
            <w:tcW w:type="dxa" w:w="4195"/>
          </w:tcPr>
          <w:p>
            <w:pPr>
              <w:spacing w:after="80" w:line="240" w:lineRule="auto"/>
            </w:pPr>
            <w:r>
              <w:rPr>
                <w:sz w:val="18"/>
              </w:rPr>
              <w:t>S04 | workflow4.md</w:t>
            </w:r>
          </w:p>
        </w:tc>
        <w:tc>
          <w:tcPr>
            <w:tcW w:type="dxa" w:w="1304"/>
          </w:tcPr>
          <w:p>
            <w:pPr>
              <w:spacing w:after="80" w:line="240" w:lineRule="auto"/>
            </w:pPr>
            <w:r>
              <w:rPr>
                <w:sz w:val="18"/>
              </w:rPr>
              <w:t>G; H,I,J</w:t>
            </w:r>
          </w:p>
        </w:tc>
        <w:tc>
          <w:tcPr>
            <w:tcW w:type="dxa" w:w="3912"/>
          </w:tcPr>
          <w:p>
            <w:pPr>
              <w:spacing w:after="80" w:line="240" w:lineRule="auto"/>
            </w:pPr>
            <w:r>
              <w:rPr>
                <w:sz w:val="18"/>
              </w:rPr>
              <w:t>Sample; hypothetical illustration demonstration</w:t>
            </w:r>
          </w:p>
        </w:tc>
      </w:tr>
      <w:tr>
        <w:trPr>
          <w:cantSplit/>
        </w:trPr>
        <w:tc>
          <w:tcPr>
            <w:tcW w:type="dxa" w:w="4195"/>
          </w:tcPr>
          <w:p>
            <w:pPr>
              <w:spacing w:after="80" w:line="240" w:lineRule="auto"/>
            </w:pPr>
            <w:r>
              <w:rPr>
                <w:sz w:val="18"/>
              </w:rPr>
              <w:t>S05 | workflow5.md</w:t>
            </w:r>
          </w:p>
        </w:tc>
        <w:tc>
          <w:tcPr>
            <w:tcW w:type="dxa" w:w="1304"/>
          </w:tcPr>
          <w:p>
            <w:pPr>
              <w:spacing w:after="80" w:line="240" w:lineRule="auto"/>
            </w:pPr>
            <w:r>
              <w:rPr>
                <w:sz w:val="18"/>
              </w:rPr>
              <w:t>G; H,I,J</w:t>
            </w:r>
          </w:p>
        </w:tc>
        <w:tc>
          <w:tcPr>
            <w:tcW w:type="dxa" w:w="3912"/>
          </w:tcPr>
          <w:p>
            <w:pPr>
              <w:spacing w:after="80" w:line="240" w:lineRule="auto"/>
            </w:pPr>
            <w:r>
              <w:rPr>
                <w:sz w:val="18"/>
              </w:rPr>
              <w:t>Sample; reported sneaker observations</w:t>
            </w:r>
          </w:p>
        </w:tc>
      </w:tr>
      <w:tr>
        <w:trPr>
          <w:cantSplit/>
        </w:trPr>
        <w:tc>
          <w:tcPr>
            <w:tcW w:type="dxa" w:w="4195"/>
          </w:tcPr>
          <w:p>
            <w:pPr>
              <w:spacing w:after="80" w:line="240" w:lineRule="auto"/>
            </w:pPr>
            <w:r>
              <w:rPr>
                <w:sz w:val="18"/>
              </w:rPr>
              <w:t>S06 | workflow6.md</w:t>
            </w:r>
          </w:p>
        </w:tc>
        <w:tc>
          <w:tcPr>
            <w:tcW w:type="dxa" w:w="1304"/>
          </w:tcPr>
          <w:p>
            <w:pPr>
              <w:spacing w:after="80" w:line="240" w:lineRule="auto"/>
            </w:pPr>
            <w:r>
              <w:rPr>
                <w:sz w:val="18"/>
              </w:rPr>
              <w:t>G; H,I,J</w:t>
            </w:r>
          </w:p>
        </w:tc>
        <w:tc>
          <w:tcPr>
            <w:tcW w:type="dxa" w:w="3912"/>
          </w:tcPr>
          <w:p>
            <w:pPr>
              <w:spacing w:after="80" w:line="240" w:lineRule="auto"/>
            </w:pPr>
            <w:r>
              <w:rPr>
                <w:sz w:val="18"/>
              </w:rPr>
              <w:t>Sample; reported person-only demonstration</w:t>
            </w:r>
          </w:p>
        </w:tc>
      </w:tr>
      <w:tr>
        <w:trPr>
          <w:cantSplit/>
        </w:trPr>
        <w:tc>
          <w:tcPr>
            <w:tcW w:type="dxa" w:w="4195"/>
          </w:tcPr>
          <w:p>
            <w:pPr>
              <w:spacing w:after="80" w:line="240" w:lineRule="auto"/>
            </w:pPr>
            <w:r>
              <w:rPr>
                <w:sz w:val="18"/>
              </w:rPr>
              <w:t>S07 | sources.md</w:t>
            </w:r>
          </w:p>
        </w:tc>
        <w:tc>
          <w:tcPr>
            <w:tcW w:type="dxa" w:w="1304"/>
          </w:tcPr>
          <w:p>
            <w:pPr>
              <w:spacing w:after="80" w:line="240" w:lineRule="auto"/>
            </w:pPr>
            <w:r>
              <w:rPr>
                <w:sz w:val="18"/>
              </w:rPr>
              <w:t>F; H,I,K</w:t>
            </w:r>
          </w:p>
        </w:tc>
        <w:tc>
          <w:tcPr>
            <w:tcW w:type="dxa" w:w="3912"/>
          </w:tcPr>
          <w:p>
            <w:pPr>
              <w:spacing w:after="80" w:line="240" w:lineRule="auto"/>
            </w:pPr>
            <w:r>
              <w:rPr>
                <w:sz w:val="18"/>
              </w:rPr>
              <w:t>Mixed secondary compilation; individual citations require verification</w:t>
            </w:r>
          </w:p>
        </w:tc>
      </w:tr>
      <w:tr>
        <w:trPr>
          <w:cantSplit/>
        </w:trPr>
        <w:tc>
          <w:tcPr>
            <w:tcW w:type="dxa" w:w="4195"/>
          </w:tcPr>
          <w:p>
            <w:pPr>
              <w:spacing w:after="80" w:line="240" w:lineRule="auto"/>
            </w:pPr>
            <w:r>
              <w:rPr>
                <w:sz w:val="18"/>
              </w:rPr>
              <w:t>P01 | VisualPrompt_Studio_DOC-01_Product_and_Project_Brief_v1.5.docx</w:t>
            </w:r>
          </w:p>
        </w:tc>
        <w:tc>
          <w:tcPr>
            <w:tcW w:type="dxa" w:w="1304"/>
          </w:tcPr>
          <w:p>
            <w:pPr>
              <w:spacing w:after="80" w:line="240" w:lineRule="auto"/>
            </w:pPr>
            <w:r>
              <w:rPr>
                <w:sz w:val="18"/>
              </w:rPr>
              <w:t>A; B,C,D,K</w:t>
            </w:r>
          </w:p>
        </w:tc>
        <w:tc>
          <w:tcPr>
            <w:tcW w:type="dxa" w:w="3912"/>
          </w:tcPr>
          <w:p>
            <w:pPr>
              <w:spacing w:after="80" w:line="240" w:lineRule="auto"/>
            </w:pPr>
            <w:r>
              <w:rPr>
                <w:sz w:val="18"/>
              </w:rPr>
              <w:t>Draft for instructor review; embedded decisions have own status</w:t>
            </w:r>
          </w:p>
        </w:tc>
      </w:tr>
      <w:tr>
        <w:trPr>
          <w:cantSplit/>
        </w:trPr>
        <w:tc>
          <w:tcPr>
            <w:tcW w:type="dxa" w:w="4195"/>
          </w:tcPr>
          <w:p>
            <w:pPr>
              <w:spacing w:after="80" w:line="240" w:lineRule="auto"/>
            </w:pPr>
            <w:r>
              <w:rPr>
                <w:sz w:val="18"/>
              </w:rPr>
              <w:t>P02 | VisualPrompt_Studio_DOC-02_Product_and_Functional_Requirements_Specification_v1.4.docx</w:t>
            </w:r>
          </w:p>
        </w:tc>
        <w:tc>
          <w:tcPr>
            <w:tcW w:type="dxa" w:w="1304"/>
          </w:tcPr>
          <w:p>
            <w:pPr>
              <w:spacing w:after="80" w:line="240" w:lineRule="auto"/>
            </w:pPr>
            <w:r>
              <w:rPr>
                <w:sz w:val="18"/>
              </w:rPr>
              <w:t>B; A,D,J,K</w:t>
            </w:r>
          </w:p>
        </w:tc>
        <w:tc>
          <w:tcPr>
            <w:tcW w:type="dxa" w:w="3912"/>
          </w:tcPr>
          <w:p>
            <w:pPr>
              <w:spacing w:after="80" w:line="240" w:lineRule="auto"/>
            </w:pPr>
            <w:r>
              <w:rPr>
                <w:sz w:val="18"/>
              </w:rPr>
              <w:t>Draft requirements baseline; Confirmed and Proposed items distinguished</w:t>
            </w:r>
          </w:p>
        </w:tc>
      </w:tr>
      <w:tr>
        <w:trPr>
          <w:cantSplit/>
        </w:trPr>
        <w:tc>
          <w:tcPr>
            <w:tcW w:type="dxa" w:w="4195"/>
          </w:tcPr>
          <w:p>
            <w:pPr>
              <w:spacing w:after="80" w:line="240" w:lineRule="auto"/>
            </w:pPr>
            <w:r>
              <w:rPr>
                <w:sz w:val="18"/>
              </w:rPr>
              <w:t>P03 | VisualPrompt_Studio_DOC-03_Domain_State_and_Data_Design_v1.3.docx</w:t>
            </w:r>
          </w:p>
        </w:tc>
        <w:tc>
          <w:tcPr>
            <w:tcW w:type="dxa" w:w="1304"/>
          </w:tcPr>
          <w:p>
            <w:pPr>
              <w:spacing w:after="80" w:line="240" w:lineRule="auto"/>
            </w:pPr>
            <w:r>
              <w:rPr>
                <w:sz w:val="18"/>
              </w:rPr>
              <w:t>C; B,J,K</w:t>
            </w:r>
          </w:p>
        </w:tc>
        <w:tc>
          <w:tcPr>
            <w:tcW w:type="dxa" w:w="3912"/>
          </w:tcPr>
          <w:p>
            <w:pPr>
              <w:spacing w:after="80" w:line="240" w:lineRule="auto"/>
            </w:pPr>
            <w:r>
              <w:rPr>
                <w:sz w:val="18"/>
              </w:rPr>
              <w:t>Draft design baseline; some contracts Proposed</w:t>
            </w:r>
          </w:p>
        </w:tc>
      </w:tr>
      <w:tr>
        <w:trPr>
          <w:cantSplit/>
        </w:trPr>
        <w:tc>
          <w:tcPr>
            <w:tcW w:type="dxa" w:w="4195"/>
          </w:tcPr>
          <w:p>
            <w:pPr>
              <w:spacing w:after="80" w:line="240" w:lineRule="auto"/>
            </w:pPr>
            <w:r>
              <w:rPr>
                <w:sz w:val="18"/>
              </w:rPr>
              <w:t>P04 | VisualPrompt_Studio_DOC-04_Frontend_Architecture_and_ADRs_v1.1.docx</w:t>
            </w:r>
          </w:p>
        </w:tc>
        <w:tc>
          <w:tcPr>
            <w:tcW w:type="dxa" w:w="1304"/>
          </w:tcPr>
          <w:p>
            <w:pPr>
              <w:spacing w:after="80" w:line="240" w:lineRule="auto"/>
            </w:pPr>
            <w:r>
              <w:rPr>
                <w:sz w:val="18"/>
              </w:rPr>
              <w:t>C; D,B,J,K</w:t>
            </w:r>
          </w:p>
        </w:tc>
        <w:tc>
          <w:tcPr>
            <w:tcW w:type="dxa" w:w="3912"/>
          </w:tcPr>
          <w:p>
            <w:pPr>
              <w:spacing w:after="80" w:line="240" w:lineRule="auto"/>
            </w:pPr>
            <w:r>
              <w:rPr>
                <w:sz w:val="18"/>
              </w:rPr>
              <w:t>Draft architecture baseline; ADR-001–007 accepted per document; ADR-008 open</w:t>
            </w:r>
          </w:p>
        </w:tc>
      </w:tr>
    </w:tbl>
    <w:p>
      <w:r>
        <w:t>Categories: A product/project; B requirements; C architecture/data; D UX; E formatting; F external research; G samples; H techniques; I taxonomy; J evaluation; K decisions/history. Multi-role records and section mappings are in JSON.</w:t>
      </w:r>
    </w:p>
    <w:p>
      <w:r>
        <w:t>P01–P04 là Draft baselines. Các quyết định Confirmed/Accepted trong từng document vẫn được ghi nhận, nhưng không suy diễn blanket project-owner approval. Không có earlier version files để independently confirm supersession. P01 có control date 08/10 và revision date 09/10; giữ cả hai.</w:t>
      </w:r>
    </w:p>
    <w:p>
      <w:r>
        <w:t>Không có DOC 05, DOC 06, standalone docs-writer standard hoặc original demonstration images/transcripts trong upload set. Chúng không bị coi là đã đọc. Không di chuyển, sửa hoặc xóa originals.</w:t>
      </w:r>
    </w:p>
    <w:p>
      <w:r>
        <w:br w:type="page"/>
      </w:r>
    </w:p>
    <w:p>
      <w:pPr>
        <w:pStyle w:val="Heading1"/>
      </w:pPr>
      <w:r>
        <w:t>8. Shared Techniques &amp; Compatibility</w:t>
      </w:r>
    </w:p>
    <w:tbl>
      <w:tblPr>
        <w:tblStyle w:val="LightShading-Accent1"/>
        <w:tblW w:type="auto" w:w="0"/>
        <w:tblLayout w:type="fixed"/>
        <w:tblLook w:firstColumn="1" w:firstRow="1" w:lastColumn="0" w:lastRow="0" w:noHBand="0" w:noVBand="1" w:val="04A0"/>
      </w:tblPr>
      <w:tblGrid>
        <w:gridCol w:w="4706"/>
        <w:gridCol w:w="4706"/>
      </w:tblGrid>
      <w:tr>
        <w:trPr>
          <w:tblHeader/>
          <w:cantSplit/>
        </w:trPr>
        <w:tc>
          <w:tcPr>
            <w:tcW w:type="dxa" w:w="2835"/>
          </w:tcPr>
          <w:p>
            <w:pPr>
              <w:spacing w:after="80" w:line="240" w:lineRule="auto"/>
            </w:pPr>
            <w:r>
              <w:rPr>
                <w:sz w:val="18"/>
              </w:rPr>
              <w:t>Shared technique</w:t>
            </w:r>
          </w:p>
        </w:tc>
        <w:tc>
          <w:tcPr>
            <w:tcW w:type="dxa" w:w="6576"/>
          </w:tcPr>
          <w:p>
            <w:pPr>
              <w:spacing w:after="80" w:line="240" w:lineRule="auto"/>
            </w:pPr>
            <w:r>
              <w:rPr>
                <w:sz w:val="18"/>
              </w:rPr>
              <w:t>Applicable families / evidence</w:t>
            </w:r>
          </w:p>
        </w:tc>
      </w:tr>
      <w:tr>
        <w:trPr>
          <w:cantSplit/>
        </w:trPr>
        <w:tc>
          <w:tcPr>
            <w:tcW w:type="dxa" w:w="2835"/>
          </w:tcPr>
          <w:p>
            <w:pPr>
              <w:spacing w:after="80" w:line="240" w:lineRule="auto"/>
            </w:pPr>
            <w:r>
              <w:rPr>
                <w:sz w:val="18"/>
              </w:rPr>
              <w:t>TECH-01 | Reference roles and preservation</w:t>
            </w:r>
          </w:p>
        </w:tc>
        <w:tc>
          <w:tcPr>
            <w:tcW w:type="dxa" w:w="6576"/>
          </w:tcPr>
          <w:p>
            <w:pPr>
              <w:spacing w:after="80" w:line="240" w:lineRule="auto"/>
            </w:pPr>
            <w:r>
              <w:rPr>
                <w:sz w:val="18"/>
              </w:rPr>
              <w:t>All</w:t>
              <w:br/>
              <w:t>S01,S03,S04,S05,S06,W05,W11</w:t>
              <w:br/>
              <w:t>Separate identity, style, composition and scene reference intent; prompted preservation is not guaranteed fidelity.</w:t>
            </w:r>
          </w:p>
        </w:tc>
      </w:tr>
      <w:tr>
        <w:trPr>
          <w:cantSplit/>
        </w:trPr>
        <w:tc>
          <w:tcPr>
            <w:tcW w:type="dxa" w:w="2835"/>
          </w:tcPr>
          <w:p>
            <w:pPr>
              <w:spacing w:after="80" w:line="240" w:lineRule="auto"/>
            </w:pPr>
            <w:r>
              <w:rPr>
                <w:sz w:val="18"/>
              </w:rPr>
              <w:t>TECH-02 | Lighting and material response</w:t>
            </w:r>
          </w:p>
        </w:tc>
        <w:tc>
          <w:tcPr>
            <w:tcW w:type="dxa" w:w="6576"/>
          </w:tcPr>
          <w:p>
            <w:pPr>
              <w:spacing w:after="80" w:line="240" w:lineRule="auto"/>
            </w:pPr>
            <w:r>
              <w:rPr>
                <w:sz w:val="18"/>
              </w:rPr>
              <w:t>DISC-01,DISC-02,DISC-06,DISC-07</w:t>
              <w:br/>
              <w:t>S01,S02,S05,S06,W01,W03,W09,W12</w:t>
              <w:br/>
              <w:t>Describe direction, softness and reflection behavior when useful; lens/lighting vocabulary is not a universal control.</w:t>
            </w:r>
          </w:p>
        </w:tc>
      </w:tr>
      <w:tr>
        <w:trPr>
          <w:cantSplit/>
        </w:trPr>
        <w:tc>
          <w:tcPr>
            <w:tcW w:type="dxa" w:w="2835"/>
          </w:tcPr>
          <w:p>
            <w:pPr>
              <w:spacing w:after="80" w:line="240" w:lineRule="auto"/>
            </w:pPr>
            <w:r>
              <w:rPr>
                <w:sz w:val="18"/>
              </w:rPr>
              <w:t>TECH-03 | Composition and negative space</w:t>
            </w:r>
          </w:p>
        </w:tc>
        <w:tc>
          <w:tcPr>
            <w:tcW w:type="dxa" w:w="6576"/>
          </w:tcPr>
          <w:p>
            <w:pPr>
              <w:spacing w:after="80" w:line="240" w:lineRule="auto"/>
            </w:pPr>
            <w:r>
              <w:rPr>
                <w:sz w:val="18"/>
              </w:rPr>
              <w:t>All</w:t>
              <w:br/>
              <w:t>S01,S02,S03,S04,W05,W12,W13</w:t>
              <w:br/>
              <w:t>Frame the focal subject and copy-space intentionally; placement guidance depends on output objective.</w:t>
            </w:r>
          </w:p>
        </w:tc>
      </w:tr>
      <w:tr>
        <w:trPr>
          <w:cantSplit/>
        </w:trPr>
        <w:tc>
          <w:tcPr>
            <w:tcW w:type="dxa" w:w="2835"/>
          </w:tcPr>
          <w:p>
            <w:pPr>
              <w:spacing w:after="80" w:line="240" w:lineRule="auto"/>
            </w:pPr>
            <w:r>
              <w:rPr>
                <w:sz w:val="18"/>
              </w:rPr>
              <w:t>TECH-04 | Continuity and intentional variation</w:t>
            </w:r>
          </w:p>
        </w:tc>
        <w:tc>
          <w:tcPr>
            <w:tcW w:type="dxa" w:w="6576"/>
          </w:tcPr>
          <w:p>
            <w:pPr>
              <w:spacing w:after="80" w:line="240" w:lineRule="auto"/>
            </w:pPr>
            <w:r>
              <w:rPr>
                <w:sz w:val="18"/>
              </w:rPr>
              <w:t>DISC-01,DISC-02,DISC-03,DISC-05</w:t>
              <w:br/>
              <w:t>S01,S05,S06,W08</w:t>
              <w:br/>
              <w:t>Separate fixed attributes from changed attributes; exact set size is not a preset portfolio rule.</w:t>
            </w:r>
          </w:p>
        </w:tc>
      </w:tr>
      <w:tr>
        <w:trPr>
          <w:cantSplit/>
        </w:trPr>
        <w:tc>
          <w:tcPr>
            <w:tcW w:type="dxa" w:w="2835"/>
          </w:tcPr>
          <w:p>
            <w:pPr>
              <w:spacing w:after="80" w:line="240" w:lineRule="auto"/>
            </w:pPr>
            <w:r>
              <w:rPr>
                <w:sz w:val="18"/>
              </w:rPr>
              <w:t>TECH-05 | Local edit boundaries</w:t>
            </w:r>
          </w:p>
        </w:tc>
        <w:tc>
          <w:tcPr>
            <w:tcW w:type="dxa" w:w="6576"/>
          </w:tcPr>
          <w:p>
            <w:pPr>
              <w:spacing w:after="80" w:line="240" w:lineRule="auto"/>
            </w:pPr>
            <w:r>
              <w:rPr>
                <w:sz w:val="18"/>
              </w:rPr>
              <w:t>DISC-08 and applicable families</w:t>
              <w:br/>
              <w:t>S03,S04,S05,W07,W11</w:t>
              <w:br/>
              <w:t>State change target and preserved attributes; runtime masks/editing remain external.</w:t>
            </w:r>
          </w:p>
        </w:tc>
      </w:tr>
      <w:tr>
        <w:trPr>
          <w:cantSplit/>
        </w:trPr>
        <w:tc>
          <w:tcPr>
            <w:tcW w:type="dxa" w:w="2835"/>
          </w:tcPr>
          <w:p>
            <w:pPr>
              <w:spacing w:after="80" w:line="240" w:lineRule="auto"/>
            </w:pPr>
            <w:r>
              <w:rPr>
                <w:sz w:val="18"/>
              </w:rPr>
              <w:t>TECH-06 | Channel-specific constraints</w:t>
            </w:r>
          </w:p>
        </w:tc>
        <w:tc>
          <w:tcPr>
            <w:tcW w:type="dxa" w:w="6576"/>
          </w:tcPr>
          <w:p>
            <w:pPr>
              <w:spacing w:after="80" w:line="240" w:lineRule="auto"/>
            </w:pPr>
            <w:r>
              <w:rPr>
                <w:sz w:val="18"/>
              </w:rPr>
              <w:t>DISC-01,DISC-04</w:t>
              <w:br/>
              <w:t>S01,S05,W02,W04</w:t>
              <w:br/>
              <w:t>Listing imagery differs from promotional advertising; video instructions do not transfer wholesale to still images.</w:t>
            </w:r>
          </w:p>
        </w:tc>
      </w:tr>
      <w:tr>
        <w:trPr>
          <w:cantSplit/>
        </w:trPr>
        <w:tc>
          <w:tcPr>
            <w:tcW w:type="dxa" w:w="2835"/>
          </w:tcPr>
          <w:p>
            <w:pPr>
              <w:spacing w:after="80" w:line="240" w:lineRule="auto"/>
            </w:pPr>
            <w:r>
              <w:rPr>
                <w:sz w:val="18"/>
              </w:rPr>
              <w:t>TECH-07 | Background and output properties</w:t>
            </w:r>
          </w:p>
        </w:tc>
        <w:tc>
          <w:tcPr>
            <w:tcW w:type="dxa" w:w="6576"/>
          </w:tcPr>
          <w:p>
            <w:pPr>
              <w:spacing w:after="80" w:line="240" w:lineRule="auto"/>
            </w:pPr>
            <w:r>
              <w:rPr>
                <w:sz w:val="18"/>
              </w:rPr>
              <w:t>DISC-05,DISC-08</w:t>
              <w:br/>
              <w:t>S04,W10,W11</w:t>
              <w:br/>
              <w:t>White background, isolated composition and true alpha transparency differ; print/export checks are separate.</w:t>
            </w:r>
          </w:p>
        </w:tc>
      </w:tr>
    </w:tbl>
    <w:p>
      <w:pPr>
        <w:pStyle w:val="Heading2"/>
      </w:pPr>
      <w:r>
        <w:t>Project baseline và change impact</w:t>
      </w:r>
    </w:p>
    <w:tbl>
      <w:tblPr>
        <w:tblStyle w:val="LightShading-Accent1"/>
        <w:tblW w:type="auto" w:w="0"/>
        <w:tblLayout w:type="fixed"/>
        <w:tblLook w:firstColumn="1" w:firstRow="1" w:lastColumn="0" w:lastRow="0" w:noHBand="0" w:noVBand="1" w:val="04A0"/>
      </w:tblPr>
      <w:tblGrid>
        <w:gridCol w:w="4706"/>
        <w:gridCol w:w="4706"/>
      </w:tblGrid>
      <w:tr>
        <w:trPr>
          <w:tblHeader/>
          <w:cantSplit/>
        </w:trPr>
        <w:tc>
          <w:tcPr>
            <w:tcW w:type="dxa" w:w="4535"/>
          </w:tcPr>
          <w:p>
            <w:pPr>
              <w:spacing w:after="80" w:line="240" w:lineRule="auto"/>
            </w:pPr>
            <w:r>
              <w:rPr>
                <w:sz w:val="18"/>
              </w:rPr>
              <w:t>Baseline</w:t>
            </w:r>
          </w:p>
        </w:tc>
        <w:tc>
          <w:tcPr>
            <w:tcW w:type="dxa" w:w="4876"/>
          </w:tcPr>
          <w:p>
            <w:pPr>
              <w:spacing w:after="80" w:line="240" w:lineRule="auto"/>
            </w:pPr>
            <w:r>
              <w:rPr>
                <w:sz w:val="18"/>
              </w:rPr>
              <w:t>Research implication</w:t>
            </w:r>
          </w:p>
        </w:tc>
      </w:tr>
      <w:tr>
        <w:trPr>
          <w:cantSplit/>
        </w:trPr>
        <w:tc>
          <w:tcPr>
            <w:tcW w:type="dxa" w:w="4535"/>
          </w:tcPr>
          <w:p>
            <w:pPr>
              <w:spacing w:after="80" w:line="240" w:lineRule="auto"/>
            </w:pPr>
            <w:r>
              <w:rPr>
                <w:sz w:val="18"/>
              </w:rPr>
              <w:t>Workflow identities</w:t>
              <w:br/>
              <w:t>product, character, social, free-style [P03]</w:t>
            </w:r>
          </w:p>
        </w:tc>
        <w:tc>
          <w:tcPr>
            <w:tcW w:type="dxa" w:w="4876"/>
          </w:tcPr>
          <w:p>
            <w:pPr>
              <w:spacing w:after="80" w:line="240" w:lineRule="auto"/>
            </w:pPr>
            <w:r>
              <w:rPr>
                <w:sz w:val="18"/>
              </w:rPr>
              <w:t>Discovery IDs are separate; new runtime IDs require contract review.</w:t>
            </w:r>
          </w:p>
        </w:tc>
      </w:tr>
      <w:tr>
        <w:trPr>
          <w:cantSplit/>
        </w:trPr>
        <w:tc>
          <w:tcPr>
            <w:tcW w:type="dxa" w:w="4535"/>
          </w:tcPr>
          <w:p>
            <w:pPr>
              <w:spacing w:after="80" w:line="240" w:lineRule="auto"/>
            </w:pPr>
            <w:r>
              <w:rPr>
                <w:sz w:val="18"/>
              </w:rPr>
              <w:t>Preset quantity</w:t>
              <w:br/>
              <w:t>Exactly four Built-in Presets per retained MVP workflow [P01,P02,P03]</w:t>
            </w:r>
          </w:p>
        </w:tc>
        <w:tc>
          <w:tcPr>
            <w:tcW w:type="dxa" w:w="4876"/>
          </w:tcPr>
          <w:p>
            <w:pPr>
              <w:spacing w:after="80" w:line="240" w:lineRule="auto"/>
            </w:pPr>
            <w:r>
              <w:rPr>
                <w:sz w:val="18"/>
              </w:rPr>
              <w:t>Research count remains user-selected; deviations need explicit scope/release handling.</w:t>
            </w:r>
          </w:p>
        </w:tc>
      </w:tr>
      <w:tr>
        <w:trPr>
          <w:cantSplit/>
        </w:trPr>
        <w:tc>
          <w:tcPr>
            <w:tcW w:type="dxa" w:w="4535"/>
          </w:tcPr>
          <w:p>
            <w:pPr>
              <w:spacing w:after="80" w:line="240" w:lineRule="auto"/>
            </w:pPr>
            <w:r>
              <w:rPr>
                <w:sz w:val="18"/>
              </w:rPr>
              <w:t>Configuration</w:t>
              <w:br/>
              <w:t>Structured config is canonical; presets are editable field mappings [P02,P03]</w:t>
            </w:r>
          </w:p>
        </w:tc>
        <w:tc>
          <w:tcPr>
            <w:tcW w:type="dxa" w:w="4876"/>
          </w:tcPr>
          <w:p>
            <w:pPr>
              <w:spacing w:after="80" w:line="240" w:lineRule="auto"/>
            </w:pPr>
            <w:r>
              <w:rPr>
                <w:sz w:val="18"/>
              </w:rPr>
              <w:t>Samples containing agent prompts are evidence, not runtime catalogue definitions.</w:t>
            </w:r>
          </w:p>
        </w:tc>
      </w:tr>
      <w:tr>
        <w:trPr>
          <w:cantSplit/>
        </w:trPr>
        <w:tc>
          <w:tcPr>
            <w:tcW w:type="dxa" w:w="4535"/>
          </w:tcPr>
          <w:p>
            <w:pPr>
              <w:spacing w:after="80" w:line="240" w:lineRule="auto"/>
            </w:pPr>
            <w:r>
              <w:rPr>
                <w:sz w:val="18"/>
              </w:rPr>
              <w:t>Compiler</w:t>
              <w:br/>
              <w:t>Pure deterministic Markdown plain text; Balanced only [P02,P03,P04]</w:t>
            </w:r>
          </w:p>
        </w:tc>
        <w:tc>
          <w:tcPr>
            <w:tcW w:type="dxa" w:w="4876"/>
          </w:tcPr>
          <w:p>
            <w:pPr>
              <w:spacing w:after="80" w:line="240" w:lineRule="auto"/>
            </w:pPr>
            <w:r>
              <w:rPr>
                <w:sz w:val="18"/>
              </w:rPr>
              <w:t>No runtime AI, provider syntax or seed-based output guarantee adopted.</w:t>
            </w:r>
          </w:p>
        </w:tc>
      </w:tr>
      <w:tr>
        <w:trPr>
          <w:cantSplit/>
        </w:trPr>
        <w:tc>
          <w:tcPr>
            <w:tcW w:type="dxa" w:w="4535"/>
          </w:tcPr>
          <w:p>
            <w:pPr>
              <w:spacing w:after="80" w:line="240" w:lineRule="auto"/>
            </w:pPr>
            <w:r>
              <w:rPr>
                <w:sz w:val="18"/>
              </w:rPr>
              <w:t>Manual edit</w:t>
              <w:br/>
              <w:t>Edited Prompt separate from generated baseline; regenerate confirmation [P02,P03,P04]</w:t>
            </w:r>
          </w:p>
        </w:tc>
        <w:tc>
          <w:tcPr>
            <w:tcW w:type="dxa" w:w="4876"/>
          </w:tcPr>
          <w:p>
            <w:pPr>
              <w:spacing w:after="80" w:line="240" w:lineRule="auto"/>
            </w:pPr>
            <w:r>
              <w:rPr>
                <w:sz w:val="18"/>
              </w:rPr>
              <w:t>Future fixtures must preserve edited text and config semantics.</w:t>
            </w:r>
          </w:p>
        </w:tc>
      </w:tr>
      <w:tr>
        <w:trPr>
          <w:cantSplit/>
        </w:trPr>
        <w:tc>
          <w:tcPr>
            <w:tcW w:type="dxa" w:w="4535"/>
          </w:tcPr>
          <w:p>
            <w:pPr>
              <w:spacing w:after="80" w:line="240" w:lineRule="auto"/>
            </w:pPr>
            <w:r>
              <w:rPr>
                <w:sz w:val="18"/>
              </w:rPr>
              <w:t>Persistence</w:t>
              <w:br/>
              <w:t>One Promise-based SavedConfigurationStore; localStorage MVP [P03,P04]</w:t>
            </w:r>
          </w:p>
        </w:tc>
        <w:tc>
          <w:tcPr>
            <w:tcW w:type="dxa" w:w="4876"/>
          </w:tcPr>
          <w:p>
            <w:pPr>
              <w:spacing w:after="80" w:line="240" w:lineRule="auto"/>
            </w:pPr>
            <w:r>
              <w:rPr>
                <w:sz w:val="18"/>
              </w:rPr>
              <w:t>Do not add profile metadata or alter schemaVersion without a reviewed proposal.</w:t>
            </w:r>
          </w:p>
        </w:tc>
      </w:tr>
      <w:tr>
        <w:trPr>
          <w:cantSplit/>
        </w:trPr>
        <w:tc>
          <w:tcPr>
            <w:tcW w:type="dxa" w:w="4535"/>
          </w:tcPr>
          <w:p>
            <w:pPr>
              <w:spacing w:after="80" w:line="240" w:lineRule="auto"/>
            </w:pPr>
            <w:r>
              <w:rPr>
                <w:sz w:val="18"/>
              </w:rPr>
              <w:t>Native UI</w:t>
              <w:br/>
              <w:t>text, textarea, select, checkbox; keyboard usable [P04]</w:t>
            </w:r>
          </w:p>
        </w:tc>
        <w:tc>
          <w:tcPr>
            <w:tcW w:type="dxa" w:w="4876"/>
          </w:tcPr>
          <w:p>
            <w:pPr>
              <w:spacing w:after="80" w:line="240" w:lineRule="auto"/>
            </w:pPr>
            <w:r>
              <w:rPr>
                <w:sz w:val="18"/>
              </w:rPr>
              <w:t>Provider sliders/uploads/masking are not assumed supported controls.</w:t>
            </w:r>
          </w:p>
        </w:tc>
      </w:tr>
      <w:tr>
        <w:trPr>
          <w:cantSplit/>
        </w:trPr>
        <w:tc>
          <w:tcPr>
            <w:tcW w:type="dxa" w:w="4535"/>
          </w:tcPr>
          <w:p>
            <w:pPr>
              <w:spacing w:after="80" w:line="240" w:lineRule="auto"/>
            </w:pPr>
            <w:r>
              <w:rPr>
                <w:sz w:val="18"/>
              </w:rPr>
              <w:t>Release sequence</w:t>
              <w:br/>
              <w:t>Product first; breadth may be cut; database before final course submission [P01,P02,P04]</w:t>
            </w:r>
          </w:p>
        </w:tc>
        <w:tc>
          <w:tcPr>
            <w:tcW w:type="dxa" w:w="4876"/>
          </w:tcPr>
          <w:p>
            <w:pPr>
              <w:spacing w:after="80" w:line="240" w:lineRule="auto"/>
            </w:pPr>
            <w:r>
              <w:rPr>
                <w:sz w:val="18"/>
              </w:rPr>
              <w:t>Discovery is not implementation authorization.</w:t>
            </w:r>
          </w:p>
        </w:tc>
      </w:tr>
    </w:tbl>
    <w:p>
      <w:r>
        <w:br w:type="page"/>
      </w:r>
    </w:p>
    <w:p>
      <w:pPr>
        <w:pStyle w:val="Heading1"/>
      </w:pPr>
      <w:r>
        <w:t>9. Corrections &amp; Open Decisions</w:t>
      </w:r>
    </w:p>
    <w:p>
      <w:pPr>
        <w:pStyle w:val="Heading2"/>
      </w:pPr>
      <w:r>
        <w:t>CF-01 | S02, S01, S05</w:t>
      </w:r>
    </w:p>
    <w:p>
      <w:r>
        <w:t>Reproducible issue: S02 §15 forbids naming the product; S01 and S05 include verified product descriptions.</w:t>
      </w:r>
    </w:p>
    <w:p>
      <w:r>
        <w:t>Different reference-context contracts, not a universal prompt rule. Keep scene-only brief as a Product Sub-Workflow; standalone prompt must carry user-supplied identity or explicitly require accompanying reference. Status: Discovery classification resolved; design behavior deferred.</w:t>
      </w:r>
    </w:p>
    <w:p>
      <w:pPr>
        <w:pStyle w:val="Heading2"/>
      </w:pPr>
      <w:r>
        <w:t>CF-02 | S07, W06, W07, W14</w:t>
      </w:r>
    </w:p>
    <w:p>
      <w:r>
        <w:t>Reproducible issue: S07 Reference-Based Controls: Omni Reference has Multiple references; S07 treats --cref as V6+ / V7+.</w:t>
      </w:r>
    </w:p>
    <w:p>
      <w:r>
        <w:t>Version/control conflation. W06 documents V7 Omni Reference with one image; W07 documents a distinct Edit Model with up to four. Reject universal parameter mapping; any future adapter must name provider, model version, operation and reference role. Status: Corrected for this research; originals unchanged.</w:t>
      </w:r>
    </w:p>
    <w:p>
      <w:pPr>
        <w:pStyle w:val="Heading2"/>
      </w:pPr>
      <w:r>
        <w:t>CF-03 | S01, S02, S04, S05, S06, P02</w:t>
      </w:r>
    </w:p>
    <w:p>
      <w:r>
        <w:t>Reproducible issue: Sample prompt counts vary from three to five; P02 FR-018 requires four Built-in Presets per MVP workflow.</w:t>
      </w:r>
    </w:p>
    <w:p>
      <w:r>
        <w:t>Sample output count, research preset quantity and released Built-in count are three different quantities. Ask user for research count after target selection. If different from four, record research portfolio vs MVP subset or propose requirement change. Status: Open until target/count confirmation.</w:t>
      </w:r>
    </w:p>
    <w:p>
      <w:pPr>
        <w:pStyle w:val="Heading2"/>
      </w:pPr>
      <w:r>
        <w:t>CF-04 | S07, W11</w:t>
      </w:r>
    </w:p>
    <w:p>
      <w:r>
        <w:t>Reproducible issue: S07 Key Insights claims earlier prompt tokens receive more attention.</w:t>
      </w:r>
    </w:p>
    <w:p>
      <w:r>
        <w:t>A suggested writing order does not establish attention mechanics; consulted guide does not corroborate that causal claim. Treat instruction order as compiler/profile design and testable hypothesis, not a universal model-mechanics fact. Status: Unsupported claim excluded.</w:t>
      </w:r>
    </w:p>
    <w:p>
      <w:pPr>
        <w:pStyle w:val="Heading2"/>
      </w:pPr>
      <w:r>
        <w:t>CF-05 | S07, S03</w:t>
      </w:r>
    </w:p>
    <w:p>
      <w:r>
        <w:t>Reproducible issue: S07 lists seed and quality/steps as universal controls; S03 includes a 2,000-character handoff cap.</w:t>
      </w:r>
    </w:p>
    <w:p>
      <w:r>
        <w:t>Conceptual similarity does not imply exposure, range, semantics or exact reproducibility across models. Do not include runtime seed, CFG, steps, file format or provider character caps in platform-neutral fields by default. Status: Quarantined pending selected-platform verification.</w:t>
      </w:r>
    </w:p>
    <w:p>
      <w:r>
        <w:br w:type="page"/>
      </w:r>
    </w:p>
    <w:p>
      <w:pPr>
        <w:pStyle w:val="Heading1"/>
      </w:pPr>
      <w:r>
        <w:t>9. Corrections &amp; Open Decisions — continued</w:t>
      </w:r>
    </w:p>
    <w:p>
      <w:pPr>
        <w:pStyle w:val="Heading2"/>
      </w:pPr>
      <w:r>
        <w:t>CF-06 | P01</w:t>
      </w:r>
    </w:p>
    <w:p>
      <w:r>
        <w:t>Reproducible issue: DOC 01 control date 08/10/2026; revision v1.5 dated 09/10/2026.</w:t>
      </w:r>
    </w:p>
    <w:p>
      <w:r>
        <w:t>Document-date inconsistency; not evidence that the product requirements conflict. Retain both dates in authority assessment; use current supplied version provisionally. Status: Conditional classification pass.</w:t>
      </w:r>
    </w:p>
    <w:p>
      <w:pPr>
        <w:pStyle w:val="Heading2"/>
      </w:pPr>
      <w:r>
        <w:t>CF-07 | P02, P03, P04</w:t>
      </w:r>
    </w:p>
    <w:p>
      <w:r>
        <w:t>Reproducible issue: Custom replacement is Proposed in P02 FR-014; coordinator requires profiles to respect edits. sourcePresetId carries provenance but no stable profile identity.</w:t>
      </w:r>
    </w:p>
    <w:p>
      <w:r>
        <w:t>Detailed design must resolve override approval and profile persistence without silently revising schema. Compare explicit templateProfileId, user-selectable profile and deterministic config-derived selection after workflow selection. Status: Architecture decision deferred to focused design.</w:t>
      </w:r>
    </w:p>
    <w:p>
      <w:pPr>
        <w:pStyle w:val="Heading2"/>
      </w:pPr>
      <w:r>
        <w:t>CF-08 | S06, W04</w:t>
      </w:r>
    </w:p>
    <w:p>
      <w:r>
        <w:t>Reproducible issue: S06 forbids mirrors, cinematic effects and artificial blur; TikTok recommends DIY aesthetic primarily for video ads.</w:t>
      </w:r>
    </w:p>
    <w:p>
      <w:r>
        <w:t>Sample-specific style constraints and video guidance must not become universal invalidity rules. Use as candidate UGC profile emphasis; unconventional art direction receives warnings only when justified. Status: Discovery classification resolved.</w:t>
      </w:r>
    </w:p>
    <w:p>
      <w:pPr>
        <w:pStyle w:val="Heading2"/>
      </w:pPr>
      <w:r>
        <w:t>CF-09 | S07</w:t>
      </w:r>
    </w:p>
    <w:p>
      <w:r>
        <w:t>Reproducible issue: Recommended Reading Order labels Leonardo API Reference but links Midjourney; material contains conversational fragments and unverified model/version/date assertions.</w:t>
      </w:r>
    </w:p>
    <w:p>
      <w:r>
        <w:t>Resource compilation is heterogeneous secondary evidence, despite supplied High ratings. Preserve candidate URLs with unverified status; cite inspected primary pages for factual conclusions. Status: Quarantined at claim level.</w:t>
      </w:r>
    </w:p>
    <w:p>
      <w:r>
        <w:br w:type="page"/>
      </w:r>
    </w:p>
    <w:p>
      <w:pPr>
        <w:pStyle w:val="Heading1"/>
      </w:pPr>
      <w:r>
        <w:t>10. Council Review, Gates &amp; Handoff</w:t>
      </w:r>
    </w:p>
    <w:p>
      <w:r>
        <w:t>Council dùng tám simulated specialist perspectives; không phải tám independent agents hoặc empirical reviewers. Material tensions: marketing muốn breadth và variations; product/UX ưu tiên một vertical slice; editing đòi fidelity nhưng prompting không đảm bảo fidelity. Khuyến nghị giải quyết bằng broad discovery + focused design sau selection.</w:t>
      </w:r>
    </w:p>
    <w:tbl>
      <w:tblPr>
        <w:tblStyle w:val="LightShading-Accent1"/>
        <w:tblW w:type="auto" w:w="0"/>
        <w:tblLayout w:type="fixed"/>
        <w:tblLook w:firstColumn="1" w:firstRow="1" w:lastColumn="0" w:lastRow="0" w:noHBand="0" w:noVBand="1" w:val="04A0"/>
      </w:tblPr>
      <w:tblGrid>
        <w:gridCol w:w="4706"/>
        <w:gridCol w:w="4706"/>
      </w:tblGrid>
      <w:tr>
        <w:trPr>
          <w:tblHeader/>
          <w:cantSplit/>
        </w:trPr>
        <w:tc>
          <w:tcPr>
            <w:tcW w:type="dxa" w:w="2551"/>
          </w:tcPr>
          <w:p>
            <w:pPr>
              <w:spacing w:after="80" w:line="240" w:lineRule="auto"/>
            </w:pPr>
            <w:r>
              <w:rPr>
                <w:sz w:val="18"/>
              </w:rPr>
              <w:t>Perspective</w:t>
            </w:r>
          </w:p>
        </w:tc>
        <w:tc>
          <w:tcPr>
            <w:tcW w:type="dxa" w:w="6860"/>
          </w:tcPr>
          <w:p>
            <w:pPr>
              <w:spacing w:after="80" w:line="240" w:lineRule="auto"/>
            </w:pPr>
            <w:r>
              <w:rPr>
                <w:sz w:val="18"/>
              </w:rPr>
              <w:t>Finding / recommendation</w:t>
            </w:r>
          </w:p>
        </w:tc>
      </w:tr>
      <w:tr>
        <w:trPr>
          <w:cantSplit/>
        </w:trPr>
        <w:tc>
          <w:tcPr>
            <w:tcW w:type="dxa" w:w="2551"/>
          </w:tcPr>
          <w:p>
            <w:pPr>
              <w:spacing w:after="80" w:line="240" w:lineRule="auto"/>
            </w:pPr>
            <w:r>
              <w:rPr>
                <w:sz w:val="18"/>
              </w:rPr>
              <w:t>Visual research &amp; evidence</w:t>
            </w:r>
          </w:p>
        </w:tc>
        <w:tc>
          <w:tcPr>
            <w:tcW w:type="dxa" w:w="6860"/>
          </w:tcPr>
          <w:p>
            <w:pPr>
              <w:spacing w:after="80" w:line="240" w:lineRule="auto"/>
            </w:pPr>
            <w:r>
              <w:rPr>
                <w:sz w:val="18"/>
              </w:rPr>
              <w:t>Secondary reconstructions are useful examples, not direct experimental evidence. Use primary references and disclose unverified original interactions.</w:t>
            </w:r>
          </w:p>
        </w:tc>
      </w:tr>
      <w:tr>
        <w:trPr>
          <w:cantSplit/>
        </w:trPr>
        <w:tc>
          <w:tcPr>
            <w:tcW w:type="dxa" w:w="2551"/>
          </w:tcPr>
          <w:p>
            <w:pPr>
              <w:spacing w:after="80" w:line="240" w:lineRule="auto"/>
            </w:pPr>
            <w:r>
              <w:rPr>
                <w:sz w:val="18"/>
              </w:rPr>
              <w:t>Advertising &amp; creative strategy</w:t>
            </w:r>
          </w:p>
        </w:tc>
        <w:tc>
          <w:tcPr>
            <w:tcW w:type="dxa" w:w="6860"/>
          </w:tcPr>
          <w:p>
            <w:pPr>
              <w:spacing w:after="80" w:line="240" w:lineRule="auto"/>
            </w:pPr>
            <w:r>
              <w:rPr>
                <w:sz w:val="18"/>
              </w:rPr>
              <w:t>Catalog, campaign and everyday creator-style imagery have different objectives. Keep commercial intent/channel boundaries visible.</w:t>
            </w:r>
          </w:p>
        </w:tc>
      </w:tr>
      <w:tr>
        <w:trPr>
          <w:cantSplit/>
        </w:trPr>
        <w:tc>
          <w:tcPr>
            <w:tcW w:type="dxa" w:w="2551"/>
          </w:tcPr>
          <w:p>
            <w:pPr>
              <w:spacing w:after="80" w:line="240" w:lineRule="auto"/>
            </w:pPr>
            <w:r>
              <w:rPr>
                <w:sz w:val="18"/>
              </w:rPr>
              <w:t>Photography &amp; art direction</w:t>
            </w:r>
          </w:p>
        </w:tc>
        <w:tc>
          <w:tcPr>
            <w:tcW w:type="dxa" w:w="6860"/>
          </w:tcPr>
          <w:p>
            <w:pPr>
              <w:spacing w:after="80" w:line="240" w:lineRule="auto"/>
            </w:pPr>
            <w:r>
              <w:rPr>
                <w:sz w:val="18"/>
              </w:rPr>
              <w:t>Camera, composition and lighting belong to multiple families. Classify shared techniques without creating a workflow for each lighting term.</w:t>
            </w:r>
          </w:p>
        </w:tc>
      </w:tr>
      <w:tr>
        <w:trPr>
          <w:cantSplit/>
        </w:trPr>
        <w:tc>
          <w:tcPr>
            <w:tcW w:type="dxa" w:w="2551"/>
          </w:tcPr>
          <w:p>
            <w:pPr>
              <w:spacing w:after="80" w:line="240" w:lineRule="auto"/>
            </w:pPr>
            <w:r>
              <w:rPr>
                <w:sz w:val="18"/>
              </w:rPr>
              <w:t>Editing &amp; post-production</w:t>
            </w:r>
          </w:p>
        </w:tc>
        <w:tc>
          <w:tcPr>
            <w:tcW w:type="dxa" w:w="6860"/>
          </w:tcPr>
          <w:p>
            <w:pPr>
              <w:spacing w:after="80" w:line="240" w:lineRule="auto"/>
            </w:pPr>
            <w:r>
              <w:rPr>
                <w:sz w:val="18"/>
              </w:rPr>
              <w:t>Fidelity often needs an edit/composite process rather than description alone. Preserve edit family for later; do not promise exact product preservation.</w:t>
            </w:r>
          </w:p>
        </w:tc>
      </w:tr>
      <w:tr>
        <w:trPr>
          <w:cantSplit/>
        </w:trPr>
        <w:tc>
          <w:tcPr>
            <w:tcW w:type="dxa" w:w="2551"/>
          </w:tcPr>
          <w:p>
            <w:pPr>
              <w:spacing w:after="80" w:line="240" w:lineRule="auto"/>
            </w:pPr>
            <w:r>
              <w:rPr>
                <w:sz w:val="18"/>
              </w:rPr>
              <w:t>Generative image &amp; prompting</w:t>
            </w:r>
          </w:p>
        </w:tc>
        <w:tc>
          <w:tcPr>
            <w:tcW w:type="dxa" w:w="6860"/>
          </w:tcPr>
          <w:p>
            <w:pPr>
              <w:spacing w:after="80" w:line="240" w:lineRule="auto"/>
            </w:pPr>
            <w:r>
              <w:rPr>
                <w:sz w:val="18"/>
              </w:rPr>
              <w:t>Provider settings and reference modes cannot be normalized blindly. Quarantine unsupported cross-model parameters.</w:t>
            </w:r>
          </w:p>
        </w:tc>
      </w:tr>
      <w:tr>
        <w:trPr>
          <w:cantSplit/>
        </w:trPr>
        <w:tc>
          <w:tcPr>
            <w:tcW w:type="dxa" w:w="2551"/>
          </w:tcPr>
          <w:p>
            <w:pPr>
              <w:spacing w:after="80" w:line="240" w:lineRule="auto"/>
            </w:pPr>
            <w:r>
              <w:rPr>
                <w:sz w:val="18"/>
              </w:rPr>
              <w:t>UX &amp; interaction</w:t>
            </w:r>
          </w:p>
        </w:tc>
        <w:tc>
          <w:tcPr>
            <w:tcW w:type="dxa" w:w="6860"/>
          </w:tcPr>
          <w:p>
            <w:pPr>
              <w:spacing w:after="80" w:line="240" w:lineRule="auto"/>
            </w:pPr>
            <w:r>
              <w:rPr>
                <w:sz w:val="18"/>
              </w:rPr>
              <w:t>Eight discovered families need not become eight MVP forms. Recommend a small selected scope and map adjacent families to existing IDs first.</w:t>
            </w:r>
          </w:p>
        </w:tc>
      </w:tr>
      <w:tr>
        <w:trPr>
          <w:cantSplit/>
        </w:trPr>
        <w:tc>
          <w:tcPr>
            <w:tcW w:type="dxa" w:w="2551"/>
          </w:tcPr>
          <w:p>
            <w:pPr>
              <w:spacing w:after="80" w:line="240" w:lineRule="auto"/>
            </w:pPr>
            <w:r>
              <w:rPr>
                <w:sz w:val="18"/>
              </w:rPr>
              <w:t>Product &amp; configuration architecture</w:t>
            </w:r>
          </w:p>
        </w:tc>
        <w:tc>
          <w:tcPr>
            <w:tcW w:type="dxa" w:w="6860"/>
          </w:tcPr>
          <w:p>
            <w:pPr>
              <w:spacing w:after="80" w:line="240" w:lineRule="auto"/>
            </w:pPr>
            <w:r>
              <w:rPr>
                <w:sz w:val="18"/>
              </w:rPr>
              <w:t>Product-first baseline conflicts with broad implementation expansion, but not broad research discovery. Research broadly; design deeply only selected workflows.</w:t>
            </w:r>
          </w:p>
        </w:tc>
      </w:tr>
      <w:tr>
        <w:trPr>
          <w:cantSplit/>
        </w:trPr>
        <w:tc>
          <w:tcPr>
            <w:tcW w:type="dxa" w:w="2551"/>
          </w:tcPr>
          <w:p>
            <w:pPr>
              <w:spacing w:after="80" w:line="240" w:lineRule="auto"/>
            </w:pPr>
            <w:r>
              <w:rPr>
                <w:sz w:val="18"/>
              </w:rPr>
              <w:t>Preset taxonomy &amp; creative systems</w:t>
            </w:r>
          </w:p>
        </w:tc>
        <w:tc>
          <w:tcPr>
            <w:tcW w:type="dxa" w:w="6860"/>
          </w:tcPr>
          <w:p>
            <w:pPr>
              <w:spacing w:after="80" w:line="240" w:lineRule="auto"/>
            </w:pPr>
            <w:r>
              <w:rPr>
                <w:sz w:val="18"/>
              </w:rPr>
              <w:t>Preset family, field option and workflow are different levels. Use purpose-based boundaries; defer portfolio selection and profile count.</w:t>
            </w:r>
          </w:p>
        </w:tc>
      </w:tr>
    </w:tbl>
    <w:p>
      <w:pPr>
        <w:pStyle w:val="Heading2"/>
      </w:pPr>
      <w:r>
        <w:t>Adversarial review và gate status</w:t>
      </w:r>
    </w:p>
    <w:p>
      <w:r>
        <w:t>AR-01 duplicate workflows, AR-02 overstated observations, AR-03 print/transparency guarantees và AR-05 premature completeness đã được sửa trong discovery. AR-04 profile persistence vẫn open cho focused design.</w:t>
      </w:r>
    </w:p>
    <w:p>
      <w:r>
        <w:t>Gate 0 Confirmed; Document Classification Conditional Pass; Gate 1 Conditional Pass for discovery only; selection gate awaiting user; Gates 2/4 not assessed; Gate 3 preliminary compatibility; Gate 5 Incomplete. Không có coverage percentage hoặc performance score. Không chạy external generation.</w:t>
      </w:r>
    </w:p>
    <w:p>
      <w:pPr>
        <w:pStyle w:val="Heading2"/>
      </w:pPr>
      <w:r>
        <w:t>Selection request</w:t>
      </w:r>
    </w:p>
    <w:p>
      <w:r>
        <w:t>Cần xác nhận Workflow IDs/names và preset count cho từng Workflow. Có thể chọn DISC-01: 4 hoặc mapping khác. Nếu muốn council đề xuất số lượng, cần ủy quyền proposal và approve số lượng trước final Preset design. Sau selection, scope summary phải được xác nhận trước focused research.</w:t>
      </w:r>
    </w:p>
    <w:p>
      <w:r>
        <w:br w:type="page"/>
      </w:r>
    </w:p>
    <w:p>
      <w:pPr>
        <w:pStyle w:val="Heading1"/>
      </w:pPr>
      <w:r>
        <w:t>11. Folder Manifest &amp; Evidence References</w:t>
      </w:r>
    </w:p>
    <w:tbl>
      <w:tblPr>
        <w:tblStyle w:val="LightShading-Accent1"/>
        <w:tblW w:type="auto" w:w="0"/>
        <w:tblLayout w:type="fixed"/>
        <w:tblLook w:firstColumn="1" w:firstRow="1" w:lastColumn="0" w:lastRow="0" w:noHBand="0" w:noVBand="1" w:val="04A0"/>
      </w:tblPr>
      <w:tblGrid>
        <w:gridCol w:w="4706"/>
        <w:gridCol w:w="4706"/>
      </w:tblGrid>
      <w:tr>
        <w:trPr>
          <w:tblHeader/>
          <w:cantSplit/>
        </w:trPr>
        <w:tc>
          <w:tcPr>
            <w:tcW w:type="dxa" w:w="4082"/>
          </w:tcPr>
          <w:p>
            <w:pPr>
              <w:spacing w:after="80" w:line="240" w:lineRule="auto"/>
            </w:pPr>
            <w:r>
              <w:rPr>
                <w:sz w:val="18"/>
              </w:rPr>
              <w:t>Logical folder</w:t>
            </w:r>
          </w:p>
        </w:tc>
        <w:tc>
          <w:tcPr>
            <w:tcW w:type="dxa" w:w="5329"/>
          </w:tcPr>
          <w:p>
            <w:pPr>
              <w:spacing w:after="80" w:line="240" w:lineRule="auto"/>
            </w:pPr>
            <w:r>
              <w:rPr>
                <w:sz w:val="18"/>
              </w:rPr>
              <w:t>Contents / handling</w:t>
            </w:r>
          </w:p>
        </w:tc>
      </w:tr>
      <w:tr>
        <w:trPr>
          <w:cantSplit/>
        </w:trPr>
        <w:tc>
          <w:tcPr>
            <w:tcW w:type="dxa" w:w="4082"/>
          </w:tcPr>
          <w:p>
            <w:pPr>
              <w:spacing w:after="80" w:line="240" w:lineRule="auto"/>
            </w:pPr>
            <w:r>
              <w:rPr>
                <w:sz w:val="18"/>
              </w:rPr>
              <w:t>Research/00_Intake_and_Scope</w:t>
            </w:r>
          </w:p>
        </w:tc>
        <w:tc>
          <w:tcPr>
            <w:tcW w:type="dxa" w:w="5329"/>
          </w:tcPr>
          <w:p>
            <w:pPr>
              <w:spacing w:after="80" w:line="240" w:lineRule="auto"/>
            </w:pPr>
            <w:r>
              <w:rPr>
                <w:sz w:val="18"/>
              </w:rPr>
              <w:t>Confirmed intake record. Logical manifest only</w:t>
            </w:r>
          </w:p>
        </w:tc>
      </w:tr>
      <w:tr>
        <w:trPr>
          <w:cantSplit/>
        </w:trPr>
        <w:tc>
          <w:tcPr>
            <w:tcW w:type="dxa" w:w="4082"/>
          </w:tcPr>
          <w:p>
            <w:pPr>
              <w:spacing w:after="80" w:line="240" w:lineRule="auto"/>
            </w:pPr>
            <w:r>
              <w:rPr>
                <w:sz w:val="18"/>
              </w:rPr>
              <w:t>Research/01_Shared_Evidence/Project_Guidance</w:t>
            </w:r>
          </w:p>
        </w:tc>
        <w:tc>
          <w:tcPr>
            <w:tcW w:type="dxa" w:w="5329"/>
          </w:tcPr>
          <w:p>
            <w:pPr>
              <w:spacing w:after="80" w:line="240" w:lineRule="auto"/>
            </w:pPr>
            <w:r>
              <w:rPr>
                <w:sz w:val="18"/>
              </w:rPr>
              <w:t>Canonical project documents. Reference originals; do not move</w:t>
            </w:r>
          </w:p>
        </w:tc>
      </w:tr>
      <w:tr>
        <w:trPr>
          <w:cantSplit/>
        </w:trPr>
        <w:tc>
          <w:tcPr>
            <w:tcW w:type="dxa" w:w="4082"/>
          </w:tcPr>
          <w:p>
            <w:pPr>
              <w:spacing w:after="80" w:line="240" w:lineRule="auto"/>
            </w:pPr>
            <w:r>
              <w:rPr>
                <w:sz w:val="18"/>
              </w:rPr>
              <w:t>Research/01_Shared_Evidence/Workflow_Samples</w:t>
            </w:r>
          </w:p>
        </w:tc>
        <w:tc>
          <w:tcPr>
            <w:tcW w:type="dxa" w:w="5329"/>
          </w:tcPr>
          <w:p>
            <w:pPr>
              <w:spacing w:after="80" w:line="240" w:lineRule="auto"/>
            </w:pPr>
            <w:r>
              <w:rPr>
                <w:sz w:val="18"/>
              </w:rPr>
              <w:t>Canonical supplied reconstructions. Reference originals; cross-map families</w:t>
            </w:r>
          </w:p>
        </w:tc>
      </w:tr>
      <w:tr>
        <w:trPr>
          <w:cantSplit/>
        </w:trPr>
        <w:tc>
          <w:tcPr>
            <w:tcW w:type="dxa" w:w="4082"/>
          </w:tcPr>
          <w:p>
            <w:pPr>
              <w:spacing w:after="80" w:line="240" w:lineRule="auto"/>
            </w:pPr>
            <w:r>
              <w:rPr>
                <w:sz w:val="18"/>
              </w:rPr>
              <w:t>Research/01_Shared_Evidence/Source_Inventory</w:t>
            </w:r>
          </w:p>
        </w:tc>
        <w:tc>
          <w:tcPr>
            <w:tcW w:type="dxa" w:w="5329"/>
          </w:tcPr>
          <w:p>
            <w:pPr>
              <w:spacing w:after="80" w:line="240" w:lineRule="auto"/>
            </w:pPr>
            <w:r>
              <w:rPr>
                <w:sz w:val="18"/>
              </w:rPr>
              <w:t>Compiled source notes; primary-page registry; candidate URL inventory. Contained in discovery JSON</w:t>
            </w:r>
          </w:p>
        </w:tc>
      </w:tr>
      <w:tr>
        <w:trPr>
          <w:cantSplit/>
        </w:trPr>
        <w:tc>
          <w:tcPr>
            <w:tcW w:type="dxa" w:w="4082"/>
          </w:tcPr>
          <w:p>
            <w:pPr>
              <w:spacing w:after="80" w:line="240" w:lineRule="auto"/>
            </w:pPr>
            <w:r>
              <w:rPr>
                <w:sz w:val="18"/>
              </w:rPr>
              <w:t>Research/02_Workflow_Discovery</w:t>
            </w:r>
          </w:p>
        </w:tc>
        <w:tc>
          <w:tcPr>
            <w:tcW w:type="dxa" w:w="5329"/>
          </w:tcPr>
          <w:p>
            <w:pPr>
              <w:spacing w:after="80" w:line="240" w:lineRule="auto"/>
            </w:pPr>
            <w:r>
              <w:rPr>
                <w:sz w:val="18"/>
              </w:rPr>
              <w:t>Eight-family discovery register; classification and applicability mappings. Contained in dossier and JSON</w:t>
            </w:r>
          </w:p>
        </w:tc>
      </w:tr>
      <w:tr>
        <w:trPr>
          <w:cantSplit/>
        </w:trPr>
        <w:tc>
          <w:tcPr>
            <w:tcW w:type="dxa" w:w="4082"/>
          </w:tcPr>
          <w:p>
            <w:pPr>
              <w:spacing w:after="80" w:line="240" w:lineRule="auto"/>
            </w:pPr>
            <w:r>
              <w:rPr>
                <w:sz w:val="18"/>
              </w:rPr>
              <w:t>Research/04_Evaluation</w:t>
            </w:r>
          </w:p>
        </w:tc>
        <w:tc>
          <w:tcPr>
            <w:tcW w:type="dxa" w:w="5329"/>
          </w:tcPr>
          <w:p>
            <w:pPr>
              <w:spacing w:after="80" w:line="240" w:lineRule="auto"/>
            </w:pPr>
            <w:r>
              <w:rPr>
                <w:sz w:val="18"/>
              </w:rPr>
              <w:t>Source corrections; adversarial review; stage gates. Contained in dossier and JSON</w:t>
            </w:r>
          </w:p>
        </w:tc>
      </w:tr>
      <w:tr>
        <w:trPr>
          <w:cantSplit/>
        </w:trPr>
        <w:tc>
          <w:tcPr>
            <w:tcW w:type="dxa" w:w="4082"/>
          </w:tcPr>
          <w:p>
            <w:pPr>
              <w:spacing w:after="80" w:line="240" w:lineRule="auto"/>
            </w:pPr>
            <w:r>
              <w:rPr>
                <w:sz w:val="18"/>
              </w:rPr>
              <w:t>Research/05_Approval_and_Handoff</w:t>
            </w:r>
          </w:p>
        </w:tc>
        <w:tc>
          <w:tcPr>
            <w:tcW w:type="dxa" w:w="5329"/>
          </w:tcPr>
          <w:p>
            <w:pPr>
              <w:spacing w:after="80" w:line="240" w:lineRule="auto"/>
            </w:pPr>
            <w:r>
              <w:rPr>
                <w:sz w:val="18"/>
              </w:rPr>
              <w:t>Workflow-selection record awaiting user; preset counts not chosen. Contained in dossier and JSON</w:t>
            </w:r>
          </w:p>
        </w:tc>
      </w:tr>
    </w:tbl>
    <w:p>
      <w:r>
        <w:t>Manifest mô tả logical organization; không tuyên bố tạo folder tree hoặc chuyển originals. JSON companion giữ source IDs, section applicability, file hashes, corrections, decisions, linked leads và stage completeness. Full-design catalogue sections rỗng có lý do explicit.</w:t>
      </w:r>
    </w:p>
    <w:p>
      <w:pPr>
        <w:pStyle w:val="Heading2"/>
      </w:pPr>
      <w:r>
        <w:t>Research stopping and limitations</w:t>
      </w:r>
    </w:p>
    <w:p>
      <w:r>
        <w:t>Dừng broad discovery sau khi các objective families, shared techniques và adjacent categories có bằng chứng đủ cho selection. Không tiếp tục exhaustive parameter mining. Chưa deep-dive từng ngành; chưa verify toàn bộ linked leads; chưa execute target agents, compiler hoặc image generation. Chưa đo creative effectiveness hay conversion.</w:t>
      </w:r>
    </w:p>
    <w:p>
      <w:pPr>
        <w:pStyle w:val="Heading2"/>
      </w:pPr>
      <w:r>
        <w:t>Evidence references</w:t>
      </w:r>
    </w:p>
    <w:p>
      <w:r>
        <w:t>S00–S07 và P01–P04: original filenames ở Document Registry; section locators, roles và limitations trong JSON. W01–W14: official pages dưới đây, accessed 09/10/2026. Chỉ relevant inspected sections được dùng; linked candidate leads không phải verified evidence.</w:t>
      </w:r>
    </w:p>
    <w:p>
      <w:r>
        <w:br w:type="page"/>
      </w:r>
    </w:p>
    <w:p>
      <w:pPr>
        <w:pStyle w:val="Heading1"/>
      </w:pPr>
      <w:r>
        <w:t>12. Primary Evidence References — W01–W07</w:t>
      </w:r>
    </w:p>
    <w:p>
      <w:r>
        <w:t>W01 | Shopify — Taking product photographs</w:t>
        <w:br/>
        <w:t>https://help.shopify.com/en/manual/products/product-media/product-photography</w:t>
        <w:br/>
        <w:t>Relevant sections: Setup, backgrounds, light and camera angles.</w:t>
      </w:r>
    </w:p>
    <w:p>
      <w:r>
        <w:t>W02 | Google Merchant Center — Image link [image_link]</w:t>
        <w:br/>
        <w:t>https://support.google.com/merchants/answer/6324350?hl=en</w:t>
        <w:br/>
        <w:t>Relevant sections: Image requirements; primary image; promotional overlays.</w:t>
      </w:r>
    </w:p>
    <w:p>
      <w:r>
        <w:t>W03 | Adobe — AI-generated backgrounds for product photography</w:t>
        <w:br/>
        <w:t>https://www.adobe.com/products/firefly/discover/ai-generated-backgrounds-for-product-photography.html</w:t>
        <w:br/>
        <w:t>Relevant sections: Product/background separation; material words; iterative refinement.</w:t>
      </w:r>
    </w:p>
    <w:p>
      <w:r>
        <w:t>W04 | TikTok — Creative best practices for performance ads</w:t>
        <w:br/>
        <w:t>https://ads.tiktok.com/resources/help/article/creative-best-practices</w:t>
        <w:br/>
        <w:t>Relevant sections: DIY aesthetic, people, vertical composition and safe-zone awareness.</w:t>
      </w:r>
    </w:p>
    <w:p>
      <w:r>
        <w:t>W05 | Google — 7 tips to get the most out of Nano Banana Pro</w:t>
        <w:br/>
        <w:t>https://blog.google/products-and-platforms/products/gemini/prompting-tips-nano-banana-pro/</w:t>
        <w:br/>
        <w:t>Relevant sections: Subject, composition, action, location, style; editing; limitations.</w:t>
      </w:r>
    </w:p>
    <w:p>
      <w:r>
        <w:t>W06 | Midjourney — Omni Reference</w:t>
        <w:br/>
        <w:t>https://docs.midjourney.com/hc/en-us/articles/36285124473997-Omni-Reference</w:t>
        <w:br/>
        <w:t>Relevant sections: Reference roles; V7 compatibility; one reference image.</w:t>
      </w:r>
    </w:p>
    <w:p>
      <w:r>
        <w:t>W07 | Midjourney — Edit Model</w:t>
        <w:br/>
        <w:t>https://docs.midjourney.com/hc/en-us/articles/48495453462797-Edit-Model</w:t>
        <w:br/>
        <w:t>Relevant sections: Up to four references; local edits; combining images; retexturing.</w:t>
      </w:r>
    </w:p>
    <w:p>
      <w:r>
        <w:br w:type="page"/>
      </w:r>
    </w:p>
    <w:p>
      <w:pPr>
        <w:pStyle w:val="Heading1"/>
      </w:pPr>
      <w:r>
        <w:t>12. Primary Evidence References — W08–W14</w:t>
      </w:r>
    </w:p>
    <w:p>
      <w:r>
        <w:t>W08 | Adobe — Craft character likeness and cinematic posters in Boards</w:t>
        <w:br/>
        <w:t>https://www.adobe.com/learn/firefly/web/create-cinematic-posters-consistent-characters</w:t>
        <w:br/>
        <w:t>Relevant sections: Character sheets and separate background assets for poster composition.</w:t>
      </w:r>
    </w:p>
    <w:p>
      <w:r>
        <w:t>W09 | Adobe — How to use lighting for portrait photography</w:t>
        <w:br/>
        <w:t>https://www.adobe.com/creativecloud/photography/discover/portrait-lighting.html</w:t>
        <w:br/>
        <w:t>Relevant sections: Portrait storytelling; natural/artificial light; framing context.</w:t>
      </w:r>
    </w:p>
    <w:p>
      <w:r>
        <w:t>W10 | Adobe — AI sticker generator</w:t>
        <w:br/>
        <w:t>https://www.adobe.com/products/firefly/features/sticker-generator.html</w:t>
        <w:br/>
        <w:t>Relevant sections: Subject isolation; sticker use; background removal; file-format considerations.</w:t>
      </w:r>
    </w:p>
    <w:p>
      <w:r>
        <w:t>W11 | OpenAI — Image prompting</w:t>
        <w:br/>
        <w:t>https://developers.openai.com/api/docs/guides/image-prompting</w:t>
        <w:br/>
        <w:t>Relevant sections: Reference roles; preserving identity; local edits; alpha-channel checks.</w:t>
      </w:r>
    </w:p>
    <w:p>
      <w:r>
        <w:t>W12 | Adobe — Landscape photography tips for beginners</w:t>
        <w:br/>
        <w:t>https://www.adobe.com/creativecloud/photography/type/landscape-photography.html</w:t>
        <w:br/>
        <w:t>Relevant sections: Focal destination; foreground layers; light and depth.</w:t>
      </w:r>
    </w:p>
    <w:p>
      <w:r>
        <w:t>W13 | Adobe — Generate images from text in Adobe Firefly</w:t>
        <w:br/>
        <w:t>https://www.adobe.com/learn/firefly/web/generate-image-with-text</w:t>
        <w:br/>
        <w:t>Relevant sections: Composition reference vs style reference; subject/action/location/mood.</w:t>
      </w:r>
    </w:p>
    <w:p>
      <w:r>
        <w:t>W14 | Midjourney — Version</w:t>
        <w:br/>
        <w:t>https://docs.midjourney.com/hc/en-us/articles/32199405667853-Version</w:t>
        <w:br/>
        <w:t>Relevant sections: Version feature differences and V8.2 Edit Model.</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VisualPrompt Studio | Discovery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Arial" w:hAnsi="Arial"/>
      <w:b/>
      <w:bCs/>
      <w:color w:val="183D5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D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D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183D5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83D5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 Workflow Discovery &amp; Classification</dc:title>
  <dc:subject>Discovery-led intake confirmed; workflow selection pending</dc:subject>
  <dc:creator>VisualPrompt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