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2538D" w:rsidRDefault="0032538D">
      <w:pPr>
        <w:spacing w:before="3200"/>
      </w:pPr>
    </w:p>
    <w:p w14:paraId="2294C771" w14:textId="77777777" w:rsidR="0032538D" w:rsidRDefault="00153617">
      <w:pPr>
        <w:spacing w:after="200"/>
        <w:jc w:val="center"/>
      </w:pPr>
      <w:r>
        <w:rPr>
          <w:b/>
          <w:bCs/>
          <w:color w:val="1F4E79"/>
          <w:sz w:val="44"/>
          <w:szCs w:val="44"/>
        </w:rPr>
        <w:t>GROUP WORK CASE STUDY</w:t>
      </w:r>
    </w:p>
    <w:p w14:paraId="355C7FB8" w14:textId="77777777" w:rsidR="0032538D" w:rsidRDefault="00153617">
      <w:pPr>
        <w:spacing w:after="160"/>
        <w:jc w:val="center"/>
      </w:pPr>
      <w:r>
        <w:rPr>
          <w:color w:val="333333"/>
          <w:sz w:val="34"/>
          <w:szCs w:val="34"/>
        </w:rPr>
        <w:t>Robo-Advisors and the Myth of</w:t>
      </w:r>
    </w:p>
    <w:p w14:paraId="44031FAC" w14:textId="77777777" w:rsidR="0032538D" w:rsidRDefault="45445124">
      <w:pPr>
        <w:spacing w:after="200"/>
        <w:jc w:val="center"/>
      </w:pPr>
      <w:r w:rsidRPr="45445124">
        <w:rPr>
          <w:color w:val="333333"/>
          <w:sz w:val="34"/>
          <w:szCs w:val="34"/>
        </w:rPr>
        <w:t>Democratised Investment</w:t>
      </w:r>
    </w:p>
    <w:p w14:paraId="30971CA2" w14:textId="77777777" w:rsidR="0032538D" w:rsidRDefault="00153617">
      <w:pPr>
        <w:pBdr>
          <w:bottom w:val="single" w:sz="6" w:space="8" w:color="1F4E79"/>
        </w:pBdr>
        <w:spacing w:after="60"/>
        <w:jc w:val="center"/>
      </w:pPr>
      <w:r>
        <w:rPr>
          <w:i/>
          <w:iCs/>
          <w:color w:val="666666"/>
        </w:rPr>
        <w:t>Sector: Banking &amp; Financial Services</w:t>
      </w:r>
    </w:p>
    <w:p w14:paraId="0A37501D" w14:textId="77777777" w:rsidR="0032538D" w:rsidRDefault="0032538D">
      <w:pPr>
        <w:spacing w:before="400"/>
      </w:pPr>
    </w:p>
    <w:p w14:paraId="7E7C6B76" w14:textId="77777777" w:rsidR="0032538D" w:rsidRDefault="45445124">
      <w:pPr>
        <w:spacing w:after="60"/>
        <w:jc w:val="center"/>
      </w:pPr>
      <w:r w:rsidRPr="45445124">
        <w:rPr>
          <w:color w:val="555555"/>
        </w:rPr>
        <w:t>Course: Big Data, AI and the Algorithmic Society</w:t>
      </w:r>
    </w:p>
    <w:p w14:paraId="6EA6E7B7" w14:textId="77777777" w:rsidR="0032538D" w:rsidRDefault="00153617">
      <w:pPr>
        <w:spacing w:after="60"/>
        <w:jc w:val="center"/>
      </w:pPr>
      <w:r>
        <w:rPr>
          <w:color w:val="555555"/>
        </w:rPr>
        <w:t>Duration: 15 minutes</w:t>
      </w:r>
    </w:p>
    <w:p w14:paraId="5DAB6C7B" w14:textId="77777777" w:rsidR="0032538D" w:rsidRDefault="0032538D">
      <w:pPr>
        <w:spacing w:before="200"/>
      </w:pPr>
    </w:p>
    <w:p w14:paraId="58109278" w14:textId="77777777" w:rsidR="0032538D" w:rsidRDefault="00153617">
      <w:pPr>
        <w:spacing w:after="60"/>
        <w:jc w:val="center"/>
      </w:pPr>
      <w:r>
        <w:rPr>
          <w:color w:val="999999"/>
        </w:rPr>
        <w:t>[Group Members]</w:t>
      </w:r>
    </w:p>
    <w:p w14:paraId="52EDB151" w14:textId="77777777" w:rsidR="0032538D" w:rsidRDefault="00153617">
      <w:pPr>
        <w:jc w:val="center"/>
      </w:pPr>
      <w:r>
        <w:rPr>
          <w:color w:val="999999"/>
        </w:rPr>
        <w:t>[Date]</w:t>
      </w:r>
    </w:p>
    <w:p w14:paraId="08CE3E8E" w14:textId="1C255341" w:rsidR="0072600F" w:rsidRDefault="0072600F" w:rsidP="001C716A"/>
    <w:p w14:paraId="113E3FD7" w14:textId="77777777" w:rsidR="001C716A" w:rsidRDefault="001C716A" w:rsidP="001C716A"/>
    <w:p w14:paraId="5E459FE1" w14:textId="77777777" w:rsidR="001C716A" w:rsidRDefault="001C716A" w:rsidP="001C716A"/>
    <w:p w14:paraId="72F49426" w14:textId="77777777" w:rsidR="001C716A" w:rsidRDefault="001C716A" w:rsidP="001C716A"/>
    <w:p w14:paraId="0F05D81F" w14:textId="77777777" w:rsidR="001C716A" w:rsidRDefault="001C716A" w:rsidP="001C716A"/>
    <w:p w14:paraId="4A99F18B" w14:textId="77777777" w:rsidR="001C716A" w:rsidRDefault="001C716A" w:rsidP="001C716A"/>
    <w:p w14:paraId="1A673071" w14:textId="77777777" w:rsidR="001C716A" w:rsidRDefault="001C716A" w:rsidP="001C716A"/>
    <w:p w14:paraId="14BBD2D7" w14:textId="77777777" w:rsidR="001C716A" w:rsidRDefault="001C716A" w:rsidP="001C716A"/>
    <w:p w14:paraId="5E997AAE" w14:textId="77777777" w:rsidR="001C716A" w:rsidRDefault="001C716A" w:rsidP="001C716A"/>
    <w:p w14:paraId="26557D15" w14:textId="77777777" w:rsidR="001C716A" w:rsidRDefault="001C716A" w:rsidP="001C716A"/>
    <w:p w14:paraId="44680C5C" w14:textId="77777777" w:rsidR="001C716A" w:rsidRDefault="001C716A" w:rsidP="001C716A"/>
    <w:p w14:paraId="1B54A5FC" w14:textId="77777777" w:rsidR="001C716A" w:rsidRDefault="001C716A" w:rsidP="001C716A"/>
    <w:p w14:paraId="0CD14C20" w14:textId="77777777" w:rsidR="001C716A" w:rsidRDefault="001C716A" w:rsidP="001C716A"/>
    <w:p w14:paraId="2BF1E7A1" w14:textId="77777777" w:rsidR="001C716A" w:rsidRDefault="001C716A" w:rsidP="001C716A"/>
    <w:p w14:paraId="6F7A4F9F" w14:textId="77777777" w:rsidR="001C716A" w:rsidRDefault="001C716A" w:rsidP="001C716A"/>
    <w:p w14:paraId="2EBED743" w14:textId="77777777" w:rsidR="001C716A" w:rsidRDefault="001C716A" w:rsidP="001C716A"/>
    <w:p w14:paraId="20BDBA74" w14:textId="77777777" w:rsidR="001C716A" w:rsidRDefault="001C716A" w:rsidP="001C716A"/>
    <w:p w14:paraId="0EC41839" w14:textId="77777777" w:rsidR="001C716A" w:rsidRDefault="001C716A" w:rsidP="001C716A"/>
    <w:p w14:paraId="7304A178" w14:textId="67D26D9D" w:rsidR="0072600F" w:rsidRDefault="0072600F">
      <w:pPr>
        <w:pStyle w:val="heading10"/>
      </w:pPr>
    </w:p>
    <w:p w14:paraId="694ECFB1" w14:textId="7EAB4C7D" w:rsidR="0032538D" w:rsidRDefault="00153617">
      <w:pPr>
        <w:pStyle w:val="heading10"/>
      </w:pPr>
      <w:r>
        <w:t>Part 1 — The Technology and the Companies (~5 mins)</w:t>
      </w:r>
      <w:r w:rsidR="00AB542D">
        <w:t xml:space="preserve"> (Victor)</w:t>
      </w:r>
    </w:p>
    <w:p w14:paraId="2A939C80" w14:textId="77777777" w:rsidR="0032538D" w:rsidRDefault="00153617">
      <w:pPr>
        <w:pStyle w:val="heading20"/>
      </w:pPr>
      <w:r>
        <w:t>1.1 What Is a Robo-Advisor?</w:t>
      </w:r>
    </w:p>
    <w:p w14:paraId="62B9BD61" w14:textId="77777777" w:rsidR="0032538D" w:rsidRDefault="45445124">
      <w:pPr>
        <w:spacing w:after="160" w:line="276" w:lineRule="auto"/>
      </w:pPr>
      <w:r w:rsidRPr="45445124">
        <w:t>Robo-advisors are algorithm-driven platforms that automate investment management with minimal human intervention. The standard pipeline follows a three-step logic: the user completes a risk-tolerance questionnaire; the algorithm allocates a diversified ETF portfolio using Modern Portfolio Theory (Markowitz 1952); and the portfolio is automatically rebalanced and tax-optimised in real time. What distinguishes robo-advisory from earlier forms of automated trading is its consumer-facing orientation: it packages institutional-grade asset allocation for retail investors at a fraction of traditional advisory fees.</w:t>
      </w:r>
    </w:p>
    <w:p w14:paraId="5F157BA5" w14:textId="77777777" w:rsidR="0032538D" w:rsidRDefault="00153617">
      <w:pPr>
        <w:pStyle w:val="heading20"/>
      </w:pPr>
      <w:r>
        <w:t>1.2 Three Generations of AI in Robo-Advisory</w:t>
      </w:r>
    </w:p>
    <w:p w14:paraId="3DD9DE32" w14:textId="77777777" w:rsidR="0032538D" w:rsidRDefault="00153617">
      <w:pPr>
        <w:spacing w:after="160" w:line="276" w:lineRule="auto"/>
      </w:pPr>
      <w:r>
        <w:t>The technology has evolved through three distinct phases, each expanding the scope of automation and the depth of AI involvement:</w:t>
      </w:r>
    </w:p>
    <w:p w14:paraId="4F69C658" w14:textId="77777777" w:rsidR="0032538D" w:rsidRDefault="45445124">
      <w:pPr>
        <w:pStyle w:val="ListParagraph"/>
        <w:numPr>
          <w:ilvl w:val="0"/>
          <w:numId w:val="1"/>
        </w:numPr>
        <w:spacing w:after="100" w:line="276" w:lineRule="auto"/>
      </w:pPr>
      <w:r w:rsidRPr="45445124">
        <w:rPr>
          <w:b/>
          <w:bCs/>
        </w:rPr>
        <w:t xml:space="preserve">Generation 1 — Rule-based allocation (2008–2015): </w:t>
      </w:r>
      <w:r w:rsidRPr="45445124">
        <w:t>The founding wave. Platforms like Betterment (2008) and Wealthfront (2011) applied static, rules-based implementations of MPT. The algorithm was deterministic: given a risk score, the output portfolio was fixed. Innovation lay not in the AI but in the distribution model — eliminating the human advisor and the fee structure that came with it.</w:t>
      </w:r>
    </w:p>
    <w:p w14:paraId="650E02FD" w14:textId="77777777" w:rsidR="0032538D" w:rsidRDefault="45445124">
      <w:pPr>
        <w:pStyle w:val="ListParagraph"/>
        <w:numPr>
          <w:ilvl w:val="0"/>
          <w:numId w:val="1"/>
        </w:numPr>
        <w:spacing w:after="100" w:line="276" w:lineRule="auto"/>
      </w:pPr>
      <w:r w:rsidRPr="45445124">
        <w:rPr>
          <w:b/>
          <w:bCs/>
        </w:rPr>
        <w:t xml:space="preserve">Generation 2 — Machine learning (2015–2022): </w:t>
      </w:r>
      <w:r w:rsidRPr="45445124">
        <w:t>Platforms began incorporating ML for dynamic personalisation, predictive tax-loss harvesting, churn prediction, and behavioural nudging. Algorithms moved from static rules to adaptive models that learned from user behaviour and market conditions. This generation also introduced direct indexing at scale (buying individual stocks rather than ETFs to harvest losses security-by-security).</w:t>
      </w:r>
    </w:p>
    <w:p w14:paraId="62AA9E25" w14:textId="77777777" w:rsidR="0032538D" w:rsidRDefault="45445124">
      <w:pPr>
        <w:pStyle w:val="ListParagraph"/>
        <w:numPr>
          <w:ilvl w:val="0"/>
          <w:numId w:val="1"/>
        </w:numPr>
        <w:spacing w:after="100" w:line="276" w:lineRule="auto"/>
      </w:pPr>
      <w:r w:rsidRPr="45445124">
        <w:rPr>
          <w:b/>
          <w:bCs/>
        </w:rPr>
        <w:t xml:space="preserve">Generation 3 — Generative AI and LLMs (2022–present): </w:t>
      </w:r>
      <w:r w:rsidRPr="45445124">
        <w:t>The current frontier. Large language models enable conversational onboarding, personalised natural-language portfolio commentary, and dynamic goal-planning dialogues. Deloitte (2024) projects that GenAI-enabled advice will expand from approximately 0% in 2023 to 78% of the advisory landscape by 2028. This generation also raises the most acute ethical questions, as generative models introduce new vectors for hallucination, persuasion, and opacity.</w:t>
      </w:r>
    </w:p>
    <w:p w14:paraId="46143280" w14:textId="77777777" w:rsidR="0032538D" w:rsidRDefault="45445124">
      <w:pPr>
        <w:spacing w:after="140" w:line="276" w:lineRule="auto"/>
      </w:pPr>
      <w:r w:rsidRPr="45445124">
        <w:rPr>
          <w:i/>
          <w:iCs/>
          <w:color w:val="555555"/>
        </w:rPr>
        <w:t xml:space="preserve">Critical observation: each generation has </w:t>
      </w:r>
      <w:r w:rsidRPr="00C54BAB">
        <w:rPr>
          <w:i/>
          <w:iCs/>
          <w:color w:val="555555"/>
          <w:highlight w:val="yellow"/>
        </w:rPr>
        <w:t>deepened the ‘black box’ problem</w:t>
      </w:r>
      <w:r w:rsidRPr="45445124">
        <w:rPr>
          <w:i/>
          <w:iCs/>
          <w:color w:val="555555"/>
        </w:rPr>
        <w:t xml:space="preserve">. Rule-based systems were auditable by design; ML models are auditable with effort; LLM-based systems </w:t>
      </w:r>
      <w:r w:rsidRPr="00C570C2">
        <w:rPr>
          <w:i/>
          <w:iCs/>
          <w:color w:val="555555"/>
          <w:highlight w:val="yellow"/>
        </w:rPr>
        <w:t>resist systematic audit entirely</w:t>
      </w:r>
      <w:r w:rsidRPr="45445124">
        <w:rPr>
          <w:i/>
          <w:iCs/>
          <w:color w:val="555555"/>
        </w:rPr>
        <w:t>. The evolution of capability and the erosion of explainability have moved in lockstep.</w:t>
      </w:r>
    </w:p>
    <w:p w14:paraId="6089E687" w14:textId="77777777" w:rsidR="0032538D" w:rsidRDefault="00153617">
      <w:pPr>
        <w:pStyle w:val="heading20"/>
      </w:pPr>
      <w:r>
        <w:t>1.3 Market Landscape and Key Players</w:t>
      </w:r>
    </w:p>
    <w:p w14:paraId="2D3593DF" w14:textId="77777777" w:rsidR="0032538D" w:rsidRDefault="45445124">
      <w:pPr>
        <w:spacing w:after="160" w:line="276" w:lineRule="auto"/>
      </w:pPr>
      <w:r w:rsidRPr="45445124">
        <w:t>The global robo-advisory market reached $1.97 trillion in assets under management in 2025 (Statista 2025), with projections of $4.66 trillion by 2027. The sector is concentrated among a small number of dominant players: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3226"/>
      </w:tblGrid>
      <w:tr w:rsidR="0032538D" w14:paraId="2712D3A2"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FE4400" w14:textId="77777777" w:rsidR="0032538D" w:rsidRDefault="00153617">
            <w:r>
              <w:rPr>
                <w:b/>
                <w:bCs/>
                <w:color w:val="FFFFFF"/>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2A655" w14:textId="77777777" w:rsidR="0032538D" w:rsidRDefault="00153617">
            <w:r>
              <w:rPr>
                <w:b/>
                <w:bCs/>
                <w:color w:val="FFFFFF"/>
                <w:sz w:val="20"/>
                <w:szCs w:val="20"/>
              </w:rPr>
              <w:t>AUM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3BDB3" w14:textId="77777777" w:rsidR="0032538D" w:rsidRDefault="00153617">
            <w:r>
              <w:rPr>
                <w:b/>
                <w:bCs/>
                <w:color w:val="FFFFFF"/>
                <w:sz w:val="20"/>
                <w:szCs w:val="20"/>
              </w:rPr>
              <w:t>Fee</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3CEC3" w14:textId="77777777" w:rsidR="0032538D" w:rsidRDefault="00153617">
            <w:r>
              <w:rPr>
                <w:b/>
                <w:bCs/>
                <w:color w:val="FFFFFF"/>
                <w:sz w:val="20"/>
                <w:szCs w:val="20"/>
              </w:rPr>
              <w:t>Distinguishing Feature</w:t>
            </w:r>
          </w:p>
        </w:tc>
      </w:tr>
      <w:tr w:rsidR="0032538D" w14:paraId="5250A8B5"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03870" w14:textId="77777777" w:rsidR="0032538D" w:rsidRDefault="00153617">
            <w:r>
              <w:rPr>
                <w:sz w:val="20"/>
                <w:szCs w:val="20"/>
              </w:rPr>
              <w:t>Vanguard Digital Advisor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D340" w14:textId="77777777" w:rsidR="0032538D" w:rsidRDefault="00153617">
            <w:r>
              <w:rPr>
                <w:sz w:val="20"/>
                <w:szCs w:val="20"/>
              </w:rPr>
              <w:t>$311B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5DE5" w14:textId="77777777" w:rsidR="0032538D" w:rsidRDefault="00153617">
            <w:r>
              <w:rPr>
                <w:sz w:val="20"/>
                <w:szCs w:val="20"/>
              </w:rPr>
              <w:t>~0.20%</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E34D" w14:textId="77777777" w:rsidR="0032538D" w:rsidRDefault="00153617">
            <w:r>
              <w:rPr>
                <w:sz w:val="20"/>
                <w:szCs w:val="20"/>
              </w:rPr>
              <w:t>Largest by AUM; low-cost indexing DNA</w:t>
            </w:r>
          </w:p>
        </w:tc>
      </w:tr>
      <w:tr w:rsidR="0032538D" w14:paraId="3D0D91F4"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401C3" w14:textId="77777777" w:rsidR="0032538D" w:rsidRDefault="00153617">
            <w:r>
              <w:rPr>
                <w:sz w:val="20"/>
                <w:szCs w:val="20"/>
              </w:rPr>
              <w:t>Empower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4A382" w14:textId="77777777" w:rsidR="0032538D" w:rsidRDefault="00153617">
            <w:r>
              <w:rPr>
                <w:sz w:val="20"/>
                <w:szCs w:val="20"/>
              </w:rPr>
              <w:t>$200B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D41A9" w14:textId="77777777" w:rsidR="0032538D" w:rsidRDefault="00153617">
            <w:r>
              <w:rPr>
                <w:sz w:val="20"/>
                <w:szCs w:val="20"/>
              </w:rPr>
              <w:t>0.49–0.89%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4215F" w14:textId="77777777" w:rsidR="0032538D" w:rsidRDefault="00153617">
            <w:r>
              <w:rPr>
                <w:sz w:val="20"/>
                <w:szCs w:val="20"/>
              </w:rPr>
              <w:t>Full-service dashboard; higher cost</w:t>
            </w:r>
          </w:p>
        </w:tc>
      </w:tr>
      <w:tr w:rsidR="0032538D" w14:paraId="3045A153"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A6553" w14:textId="77777777" w:rsidR="0032538D" w:rsidRDefault="00153617">
            <w:r>
              <w:rPr>
                <w:sz w:val="20"/>
                <w:szCs w:val="20"/>
              </w:rPr>
              <w:t>Schwab Intelligent Portfolios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60925" w14:textId="77777777" w:rsidR="0032538D" w:rsidRDefault="00153617">
            <w:r>
              <w:rPr>
                <w:sz w:val="20"/>
                <w:szCs w:val="20"/>
              </w:rPr>
              <w:t>~$90B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4B93" w14:textId="77777777" w:rsidR="0032538D" w:rsidRDefault="00153617">
            <w:r>
              <w:rPr>
                <w:sz w:val="20"/>
                <w:szCs w:val="20"/>
              </w:rPr>
              <w:t>0%</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94504" w14:textId="77777777" w:rsidR="0032538D" w:rsidRDefault="00153617">
            <w:r>
              <w:rPr>
                <w:sz w:val="20"/>
                <w:szCs w:val="20"/>
              </w:rPr>
              <w:t>Zero fee; high cash drag (6–30%)</w:t>
            </w:r>
          </w:p>
        </w:tc>
      </w:tr>
      <w:tr w:rsidR="0032538D" w14:paraId="172AC019"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9A10F" w14:textId="77777777" w:rsidR="0032538D" w:rsidRDefault="00153617">
            <w:r>
              <w:rPr>
                <w:sz w:val="20"/>
                <w:szCs w:val="20"/>
              </w:rPr>
              <w:t>Betterment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DE399" w14:textId="77777777" w:rsidR="0032538D" w:rsidRDefault="00153617">
            <w:r>
              <w:rPr>
                <w:sz w:val="20"/>
                <w:szCs w:val="20"/>
              </w:rPr>
              <w:t>$45.9B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D0417" w14:textId="77777777" w:rsidR="0032538D" w:rsidRDefault="00153617">
            <w:r>
              <w:rPr>
                <w:sz w:val="20"/>
                <w:szCs w:val="20"/>
              </w:rPr>
              <w:t>0.25–0.65%</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5B6B0" w14:textId="77777777" w:rsidR="0032538D" w:rsidRDefault="00153617">
            <w:r>
              <w:rPr>
                <w:sz w:val="20"/>
                <w:szCs w:val="20"/>
              </w:rPr>
              <w:t>Founded 2008; pioneer; goal-based tools</w:t>
            </w:r>
          </w:p>
        </w:tc>
      </w:tr>
      <w:tr w:rsidR="0032538D" w14:paraId="585273C8" w14:textId="77777777" w:rsidTr="4544512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49818" w14:textId="77777777" w:rsidR="0032538D" w:rsidRDefault="45445124" w:rsidP="45445124">
            <w:pPr>
              <w:rPr>
                <w:sz w:val="20"/>
                <w:szCs w:val="20"/>
              </w:rPr>
            </w:pPr>
            <w:r w:rsidRPr="45445124">
              <w:rPr>
                <w:sz w:val="20"/>
                <w:szCs w:val="20"/>
              </w:rPr>
              <w:t>Wealthfront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4788F" w14:textId="77777777" w:rsidR="0032538D" w:rsidRDefault="00153617">
            <w:r>
              <w:rPr>
                <w:sz w:val="20"/>
                <w:szCs w:val="20"/>
              </w:rPr>
              <w:t>$42.9B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E04A9" w14:textId="77777777" w:rsidR="0032538D" w:rsidRDefault="00153617">
            <w:r>
              <w:rPr>
                <w:sz w:val="20"/>
                <w:szCs w:val="20"/>
              </w:rPr>
              <w:t>0.25%</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2B9E9" w14:textId="77777777" w:rsidR="0032538D" w:rsidRDefault="00153617">
            <w:r>
              <w:rPr>
                <w:sz w:val="20"/>
                <w:szCs w:val="20"/>
              </w:rPr>
              <w:t>Tax-loss harvesting; direct indexing &gt;$100k</w:t>
            </w:r>
          </w:p>
        </w:tc>
      </w:tr>
    </w:tbl>
    <w:p w14:paraId="6A05A809" w14:textId="77777777" w:rsidR="0032538D" w:rsidRDefault="0032538D">
      <w:pPr>
        <w:spacing w:after="160" w:line="276" w:lineRule="auto"/>
      </w:pPr>
    </w:p>
    <w:p w14:paraId="6961A2FF" w14:textId="77777777" w:rsidR="0032538D" w:rsidRDefault="00153617">
      <w:pPr>
        <w:pStyle w:val="heading20"/>
      </w:pPr>
      <w:r>
        <w:t>1.4 The Institutional Exit: Why Banks Failed</w:t>
      </w:r>
    </w:p>
    <w:p w14:paraId="6DF3606C" w14:textId="77777777" w:rsidR="0032538D" w:rsidRDefault="45445124">
      <w:pPr>
        <w:spacing w:after="160" w:line="276" w:lineRule="auto"/>
      </w:pPr>
      <w:r w:rsidRPr="45445124">
        <w:t xml:space="preserve">A striking feature of the current landscape is the exit of major banks from robo-advisory. Goldman Sachs shut Marcus Invest in 2024, selling its accounts to Betterment. JPMorgan discontinued its Automated Investing product the same year. UBS sunset its Advice Advantage service after its failed 2022 attempt to acquire Wealthfront. Ellevest closed its digital robo-advisor to refocus on high-net-worth clients. These exits share a common cause: </w:t>
      </w:r>
      <w:r w:rsidRPr="00875AF4">
        <w:rPr>
          <w:highlight w:val="yellow"/>
        </w:rPr>
        <w:t>structural unprofitability</w:t>
      </w:r>
      <w:r w:rsidRPr="45445124">
        <w:t xml:space="preserve">. Traditional banks’ cost structures, legacy systems, and cultural attachment to high-touch advisory relationships made it difficult to compete on the thin margins that define robo-advisory. </w:t>
      </w:r>
      <w:r w:rsidRPr="00AE14D9">
        <w:rPr>
          <w:highlight w:val="yellow"/>
        </w:rPr>
        <w:t>The platforms that survive are purpose-built fintech firms with no legacy overhead</w:t>
      </w:r>
      <w:r w:rsidRPr="45445124">
        <w:t>.</w:t>
      </w:r>
    </w:p>
    <w:p w14:paraId="1C440345" w14:textId="77777777" w:rsidR="0032538D" w:rsidRDefault="45445124">
      <w:pPr>
        <w:spacing w:after="140" w:line="276" w:lineRule="auto"/>
      </w:pPr>
      <w:r w:rsidRPr="45445124">
        <w:rPr>
          <w:i/>
          <w:iCs/>
          <w:color w:val="555555"/>
        </w:rPr>
        <w:t>This pattern matters ethically: it suggests that the robo-advisory market will increasingly be dominated by technology companies with technology-company incentives — including data monetisation, engagement optimisation, and scale-driven homogenisation of advice — rather than by institutions with fiduciary cultures, however imperfect those cultures may be.</w:t>
      </w:r>
    </w:p>
    <w:p w14:paraId="5A39BBE3" w14:textId="77777777" w:rsidR="0032538D" w:rsidRDefault="00153617">
      <w:r>
        <w:br w:type="page"/>
      </w:r>
    </w:p>
    <w:p w14:paraId="598A1A66" w14:textId="3C0045CF" w:rsidR="00EE7AE9" w:rsidRDefault="00810C25">
      <w:pPr>
        <w:pStyle w:val="heading10"/>
      </w:pPr>
      <w:r>
        <w:t>P</w:t>
      </w:r>
      <w:r w:rsidR="00660B63">
        <w:t xml:space="preserve">art </w:t>
      </w:r>
    </w:p>
    <w:p w14:paraId="4D865F29" w14:textId="77777777" w:rsidR="00EE7AE9" w:rsidRDefault="00EE7AE9">
      <w:pPr>
        <w:pStyle w:val="heading10"/>
      </w:pPr>
    </w:p>
    <w:p w14:paraId="157BC825" w14:textId="1F1EB1B7" w:rsidR="0032538D" w:rsidRDefault="00153617">
      <w:pPr>
        <w:pStyle w:val="heading10"/>
      </w:pPr>
      <w:r>
        <w:t>Part 2 — Key Ethical Challenges (~5 mins)</w:t>
      </w:r>
      <w:r w:rsidR="002F7C73">
        <w:t xml:space="preserve"> (</w:t>
      </w:r>
      <w:r w:rsidR="00DE032D">
        <w:t>Begin:</w:t>
      </w:r>
      <w:r w:rsidR="00E91211">
        <w:t>Stefan)</w:t>
      </w:r>
      <w:r w:rsidR="00626EAE">
        <w:t xml:space="preserve"> </w:t>
      </w:r>
      <w:r w:rsidR="0035204E">
        <w:t>(</w:t>
      </w:r>
      <w:r w:rsidR="003A08F0">
        <w:t>E</w:t>
      </w:r>
      <w:r w:rsidR="00435525">
        <w:t xml:space="preserve">nd: Vic) </w:t>
      </w:r>
    </w:p>
    <w:p w14:paraId="2CF927B7" w14:textId="77777777" w:rsidR="0032538D" w:rsidRDefault="45445124">
      <w:pPr>
        <w:spacing w:after="160" w:line="276" w:lineRule="auto"/>
      </w:pPr>
      <w:r w:rsidRPr="45445124">
        <w:rPr>
          <w:b/>
          <w:bCs/>
        </w:rPr>
        <w:t xml:space="preserve">Theoretical anchor: </w:t>
      </w:r>
      <w:r w:rsidRPr="45445124">
        <w:t xml:space="preserve">Akhtar, Akhtar &amp; Laeeq (2025, </w:t>
      </w:r>
      <w:r w:rsidRPr="45445124">
        <w:rPr>
          <w:i/>
          <w:iCs/>
        </w:rPr>
        <w:t>International Journal of Consumer Studies</w:t>
      </w:r>
      <w:r w:rsidRPr="45445124">
        <w:t>) — a systematic review of 71 peer-reviewed studies — conclude that ‘algorithmic neutrality does not ensure equity.’ This finding structures our analysis. We identify four interconnected challenges, each grounded in course literature.</w:t>
      </w:r>
    </w:p>
    <w:p w14:paraId="53142464" w14:textId="77777777" w:rsidR="0032538D" w:rsidRDefault="45445124" w:rsidP="45445124">
      <w:pPr>
        <w:pStyle w:val="heading20"/>
      </w:pPr>
      <w:r w:rsidRPr="45445124">
        <w:t>2.1 The Exclusion Paradox: Bias Beneath Democratisation</w:t>
      </w:r>
    </w:p>
    <w:p w14:paraId="6D1D7E86" w14:textId="77777777" w:rsidR="0032538D" w:rsidRDefault="45445124">
      <w:pPr>
        <w:spacing w:after="160" w:line="276" w:lineRule="auto"/>
      </w:pPr>
      <w:r w:rsidRPr="45445124">
        <w:t xml:space="preserve">The founding promise of robo-advisory is </w:t>
      </w:r>
      <w:r w:rsidRPr="008169C4">
        <w:rPr>
          <w:highlight w:val="yellow"/>
        </w:rPr>
        <w:t>democratisation</w:t>
      </w:r>
      <w:r w:rsidRPr="45445124">
        <w:t>: bringing professional investment management to those previously excluded by high fees and account minimums. The evidence complicates this narrative considerably.</w:t>
      </w:r>
    </w:p>
    <w:p w14:paraId="42E50911" w14:textId="77777777" w:rsidR="0032538D" w:rsidRDefault="45445124">
      <w:pPr>
        <w:spacing w:after="160" w:line="276" w:lineRule="auto"/>
      </w:pPr>
      <w:r w:rsidRPr="45445124">
        <w:t>Akhtar et al. (2025) find that robo-advisor users are disproportionately young, male, and digitally literate. High-net-worth individuals contributed 55.3% of total AUM in 2024 — meaning that the platform ostensibly designed for the many is, in practice, serving the already-privileged. The elderly, the unbanked, and pensioners remain structurally excluded; Akhtar et al. note that pensioners appear in only 6.67% of the academic literature on robo-advisory, suggesting that the field itself has a blind spot regarding its most vulnerable potential users.</w:t>
      </w:r>
    </w:p>
    <w:p w14:paraId="41DCEC9E" w14:textId="77777777" w:rsidR="0032538D" w:rsidRDefault="00153617">
      <w:pPr>
        <w:spacing w:after="160" w:line="276" w:lineRule="auto"/>
      </w:pPr>
      <w:r>
        <w:t>This is not a neutral gap. The exclusion is produced by design choices: onboarding flows that require digital fluency, risk questionnaires calibrated to experienced investors, marketing targeted at tech-savvy millennials, and minimum deposits that, while lower than traditional advisors, still exclude the financially precarious.</w:t>
      </w:r>
    </w:p>
    <w:p w14:paraId="463A5D74" w14:textId="77777777" w:rsidR="0032538D" w:rsidRDefault="45445124">
      <w:pPr>
        <w:spacing w:after="160" w:line="276" w:lineRule="auto"/>
      </w:pPr>
      <w:r w:rsidRPr="45445124">
        <w:rPr>
          <w:b/>
          <w:bCs/>
        </w:rPr>
        <w:t xml:space="preserve">Swiss context: </w:t>
      </w:r>
      <w:r w:rsidRPr="45445124">
        <w:t>Mezzanotte (2020) examined robo-advisory platforms operating in Switzerland and found ‘notable deficiencies in risk disclosure and algorithmic transparency.’ Given Switzerland’s disproportionate significance in global wealth management, this is a critical blind spot. The very market where fiduciary standards should be highest is where algorithmic oversight appears weakest.</w:t>
      </w:r>
    </w:p>
    <w:p w14:paraId="0C4BE8DA" w14:textId="77777777" w:rsidR="0032538D" w:rsidRDefault="00153617">
      <w:pPr>
        <w:pStyle w:val="heading20"/>
      </w:pPr>
      <w:r>
        <w:t>2.2 Financial Literacy Erosion</w:t>
      </w:r>
    </w:p>
    <w:p w14:paraId="4FEAF3D4" w14:textId="77777777" w:rsidR="0032538D" w:rsidRDefault="45445124">
      <w:pPr>
        <w:spacing w:after="160" w:line="276" w:lineRule="auto"/>
      </w:pPr>
      <w:r w:rsidRPr="45445124">
        <w:t>A subtler but potentially more consequential harm: robo-advisors may erode rather than build financial literacy. Akhtar et al. (2025) argue that the passive stance imposed by full automation reduces users’ need to seek financial knowledge. The platform substitutes for understanding rather than developing it.</w:t>
      </w:r>
    </w:p>
    <w:p w14:paraId="0F032834" w14:textId="77777777" w:rsidR="0032538D" w:rsidRDefault="45445124">
      <w:pPr>
        <w:spacing w:after="160" w:line="276" w:lineRule="auto"/>
      </w:pPr>
      <w:r w:rsidRPr="45445124">
        <w:t>This creates a dependency trap. Users delegate investment decisions without developing the competence to evaluate whether the algorithm is serving their interests. When the platform makes a poor decision — or when market conditions change in ways that require human judgment — the user lacks the knowledge to intervene. The Geoforum (2020) research on automated financial advice supports this concern, finding that automation in financial contexts can create ‘informed passivity’: users feel confident because they have a system in place, but their actual understanding of their financial position deteriorates over time.</w:t>
      </w:r>
    </w:p>
    <w:p w14:paraId="7EB05E8D" w14:textId="77777777" w:rsidR="0032538D" w:rsidRDefault="45445124" w:rsidP="45445124">
      <w:pPr>
        <w:spacing w:after="140" w:line="276" w:lineRule="auto"/>
        <w:rPr>
          <w:i/>
          <w:iCs/>
          <w:color w:val="555555"/>
        </w:rPr>
      </w:pPr>
      <w:r w:rsidRPr="45445124">
        <w:rPr>
          <w:i/>
          <w:iCs/>
          <w:color w:val="555555"/>
        </w:rPr>
        <w:t>Challenge to earlier framing: our initial draft positioned financial literacy as a design feature that could be ‘bolted on’ to existing platforms through educational notifications. Akhtar et al. suggest the problem is structural: the entire value proposition of a robo-advisor depends on the user not needing to understand what it does. Education and full automation are, to some extent, in tension.</w:t>
      </w:r>
    </w:p>
    <w:p w14:paraId="05F203D2" w14:textId="77777777" w:rsidR="0032538D" w:rsidRDefault="00153617">
      <w:pPr>
        <w:pStyle w:val="heading20"/>
      </w:pPr>
      <w:r>
        <w:t>2.3 Fiduciary Conflicts and Opacity</w:t>
      </w:r>
    </w:p>
    <w:p w14:paraId="295CD20F" w14:textId="77777777" w:rsidR="0032538D" w:rsidRDefault="45445124">
      <w:pPr>
        <w:spacing w:after="160" w:line="276" w:lineRule="auto"/>
      </w:pPr>
      <w:r w:rsidRPr="45445124">
        <w:t>Robo-advisors claim algorithmic objectivity, but algorithms optimise an objective function — and that function may not align with the client’s interest. The most documented case is Schwab Intelligent Portfolios, which allocated 6–30% of client portfolios to cash held in affiliated Schwab bank accounts. The cash generated revenue for Schwab while dragging on client returns. The SEC settlement of $187 million (2022) confirmed that Schwab failed to adequately disclose this conflict.</w:t>
      </w:r>
    </w:p>
    <w:p w14:paraId="4F9A8A63" w14:textId="77777777" w:rsidR="0032538D" w:rsidRDefault="45445124">
      <w:pPr>
        <w:spacing w:after="160" w:line="276" w:lineRule="auto"/>
      </w:pPr>
      <w:r w:rsidRPr="45445124">
        <w:t>The broader structural issue is that the EU AI Act classifies algorithmic financial advice as high-risk AI, requiring explainability and conformity assessments. This creates a direct tension with the proprietary black-box models that are commercially most profitable. Platforms face a choice: transparency (which enables regulatory compliance but exposes competitive advantage) or opacity (which preserves margins but risks regulatory sanction). The market incentive currently favours opacity.</w:t>
      </w:r>
    </w:p>
    <w:p w14:paraId="2A4E42E5" w14:textId="77777777" w:rsidR="0032538D" w:rsidRDefault="45445124">
      <w:pPr>
        <w:spacing w:after="160" w:line="276" w:lineRule="auto"/>
      </w:pPr>
      <w:r w:rsidRPr="45445124">
        <w:t>Research confirms this concern: studies have found that a large majority of SEC-registered robo-advisors rely on AI models that lack the explainability required for meaningful oversight. Clients with similar profiles sometimes receive different recommendations depending on model specifications, update frequency, or minor survey response variations — inconsistencies that undermine the claim of algorithmic objectivity.</w:t>
      </w:r>
    </w:p>
    <w:p w14:paraId="492C1DFA" w14:textId="77777777" w:rsidR="0032538D" w:rsidRDefault="45445124">
      <w:pPr>
        <w:pStyle w:val="heading20"/>
      </w:pPr>
      <w:r w:rsidRPr="45445124">
        <w:t>2.4 Surveillance Capitalism and Behavioural Data Extraction</w:t>
      </w:r>
    </w:p>
    <w:p w14:paraId="6EB01050" w14:textId="77777777" w:rsidR="0032538D" w:rsidRDefault="45445124">
      <w:pPr>
        <w:spacing w:after="160" w:line="276" w:lineRule="auto"/>
      </w:pPr>
      <w:r w:rsidRPr="45445124">
        <w:t>Drawing on Zuboff (2015), we argue that robo-advisors function as dual-purpose systems. On the surface, they serve the investor. Beneath, they operate as behavioural data extraction machines. Every user interaction generates data: market responses, rebalancing decisions, login patterns, risk-tolerance changes, withdrawal triggers. This data is used not only for portfolio management but for model training, cross-selling, user pricing, and — potentially — sale to third parties.</w:t>
      </w:r>
    </w:p>
    <w:p w14:paraId="1E86D263" w14:textId="77777777" w:rsidR="0032538D" w:rsidRDefault="45445124">
      <w:pPr>
        <w:spacing w:after="160" w:line="276" w:lineRule="auto"/>
      </w:pPr>
      <w:r w:rsidRPr="45445124">
        <w:t>The robo-advisor’s business model depends on this dual function. Platforms charging 0.25% on modest portfolios cannot sustain themselves on advisory fees alone; behavioural data is the subsidy. Akhtar et al. (2025) identify data ownership and consent as critical gaps across the entire literature. Users consent to terms of service they do not read, granting platforms broad rights over data generated through interactions that users understand as private financial decisions.</w:t>
      </w:r>
    </w:p>
    <w:p w14:paraId="4C493E2B" w14:textId="77777777" w:rsidR="0032538D" w:rsidRDefault="45445124">
      <w:pPr>
        <w:spacing w:after="140" w:line="276" w:lineRule="auto"/>
      </w:pPr>
      <w:r w:rsidRPr="45445124">
        <w:rPr>
          <w:i/>
          <w:iCs/>
          <w:color w:val="555555"/>
        </w:rPr>
        <w:t>This challenge was underweighted in our initial draft. The privacy issue is not merely about data breaches or cybersecurity (though those are real); it is about the fundamental business model. The robo-advisor is not a tool that happens to collect data — it is a data-collection system that happens to manage portfolios.</w:t>
      </w:r>
    </w:p>
    <w:p w14:paraId="776DC79A" w14:textId="6258E5EA" w:rsidR="0032538D" w:rsidRDefault="00153617">
      <w:pPr>
        <w:pStyle w:val="heading10"/>
      </w:pPr>
      <w:r>
        <w:t>Part 3 — Mitigation Strategy (~5 mins)</w:t>
      </w:r>
      <w:r w:rsidR="00097F68">
        <w:t xml:space="preserve"> (</w:t>
      </w:r>
      <w:r w:rsidR="00E66A8D">
        <w:t xml:space="preserve">Adriano) </w:t>
      </w:r>
    </w:p>
    <w:p w14:paraId="7B12F6C4" w14:textId="77777777" w:rsidR="0032538D" w:rsidRDefault="45445124">
      <w:pPr>
        <w:spacing w:after="160" w:line="276" w:lineRule="auto"/>
      </w:pPr>
      <w:r w:rsidRPr="45445124">
        <w:t>Effective mitigation requires simultaneous intervention at three levels: regulatory, platform design, and user education. No single lever is sufficient. Our framework draws on Feenberg’s (2002) Critical Theory of Technology — the premise that technology is not value-neutral but can be deliberately redesigned to challenge the inequalities it currently produces.</w:t>
      </w:r>
    </w:p>
    <w:p w14:paraId="22411CD9" w14:textId="77777777" w:rsidR="0032538D" w:rsidRDefault="00153617">
      <w:pPr>
        <w:pStyle w:val="heading20"/>
      </w:pPr>
      <w:r>
        <w:t>3.1 Regulatory Intervention</w:t>
      </w:r>
    </w:p>
    <w:p w14:paraId="60B83D3F" w14:textId="77777777" w:rsidR="0032538D" w:rsidRDefault="00153617">
      <w:pPr>
        <w:pStyle w:val="ListParagraph"/>
        <w:numPr>
          <w:ilvl w:val="0"/>
          <w:numId w:val="1"/>
        </w:numPr>
        <w:spacing w:after="100" w:line="276" w:lineRule="auto"/>
      </w:pPr>
      <w:r>
        <w:rPr>
          <w:b/>
          <w:bCs/>
        </w:rPr>
        <w:t xml:space="preserve">EU AI Act enforcement: </w:t>
      </w:r>
      <w:r>
        <w:t>Robo-advisors must be consistently classified as high-risk AI systems, triggering mandatory explainability requirements, algorithmic auditing, conformity assessments, and incident reporting. The current ambiguity in classification allows platforms to self-classify at lower risk levels.</w:t>
      </w:r>
    </w:p>
    <w:p w14:paraId="3C73E29D" w14:textId="77777777" w:rsidR="0032538D" w:rsidRDefault="45445124">
      <w:pPr>
        <w:pStyle w:val="ListParagraph"/>
        <w:numPr>
          <w:ilvl w:val="0"/>
          <w:numId w:val="1"/>
        </w:numPr>
        <w:spacing w:after="100" w:line="276" w:lineRule="auto"/>
      </w:pPr>
      <w:r w:rsidRPr="45445124">
        <w:rPr>
          <w:b/>
          <w:bCs/>
        </w:rPr>
        <w:t xml:space="preserve">MiFID II reform: </w:t>
      </w:r>
      <w:r w:rsidRPr="45445124">
        <w:t>Suitability assessments under MiFID II were designed for human advisory contexts. They need to be updated for algorithmic contexts where the ‘advisor’ has no judgment, only an objective function. Regulators should require platforms to disclose what their algorithm optimises for and how that objective relates to the client’s stated goals.</w:t>
      </w:r>
    </w:p>
    <w:p w14:paraId="6D925878" w14:textId="77777777" w:rsidR="0032538D" w:rsidRDefault="45445124">
      <w:pPr>
        <w:pStyle w:val="ListParagraph"/>
        <w:numPr>
          <w:ilvl w:val="0"/>
          <w:numId w:val="1"/>
        </w:numPr>
        <w:spacing w:after="100" w:line="276" w:lineRule="auto"/>
      </w:pPr>
      <w:r w:rsidRPr="45445124">
        <w:rPr>
          <w:b/>
          <w:bCs/>
        </w:rPr>
        <w:t xml:space="preserve">Behavioural data governance: </w:t>
      </w:r>
      <w:r w:rsidRPr="45445124">
        <w:t>GDPR (and its Swiss equivalent, FADP) should mandate explicit disclosure of any behavioural data use beyond portfolio management. Users should know when their interaction data is used for model training, cross-selling, or third-party sharing — and have a meaningful right to opt out.</w:t>
      </w:r>
    </w:p>
    <w:p w14:paraId="2C04C28C" w14:textId="77777777" w:rsidR="0032538D" w:rsidRDefault="45445124">
      <w:pPr>
        <w:pStyle w:val="ListParagraph"/>
        <w:numPr>
          <w:ilvl w:val="0"/>
          <w:numId w:val="1"/>
        </w:numPr>
        <w:spacing w:after="100" w:line="276" w:lineRule="auto"/>
      </w:pPr>
      <w:r w:rsidRPr="45445124">
        <w:rPr>
          <w:b/>
          <w:bCs/>
        </w:rPr>
        <w:t xml:space="preserve">Demographic transparency: </w:t>
      </w:r>
      <w:r w:rsidRPr="45445124">
        <w:t>Platforms should be required to publish demographic usage data (age, gender, income distribution, geography) so that exclusion patterns become measurable and accountable. Without data, the exclusion paradox remains invisible.</w:t>
      </w:r>
    </w:p>
    <w:p w14:paraId="3517BB91" w14:textId="77777777" w:rsidR="0032538D" w:rsidRDefault="00153617">
      <w:pPr>
        <w:pStyle w:val="heading20"/>
      </w:pPr>
      <w:r>
        <w:t>3.2 Platform Redesign</w:t>
      </w:r>
    </w:p>
    <w:p w14:paraId="4C171EC8" w14:textId="77777777" w:rsidR="0032538D" w:rsidRDefault="45445124">
      <w:pPr>
        <w:spacing w:after="160" w:line="276" w:lineRule="auto"/>
      </w:pPr>
      <w:r w:rsidRPr="45445124">
        <w:t>Feenberg (2002) argues that technology embeds the values of its designers and can be redesigned to serve different ends. We propose four design interventions:</w:t>
      </w:r>
    </w:p>
    <w:p w14:paraId="22250688" w14:textId="77777777" w:rsidR="0032538D" w:rsidRDefault="45445124">
      <w:pPr>
        <w:pStyle w:val="ListParagraph"/>
        <w:numPr>
          <w:ilvl w:val="0"/>
          <w:numId w:val="1"/>
        </w:numPr>
        <w:spacing w:after="100" w:line="276" w:lineRule="auto"/>
      </w:pPr>
      <w:r w:rsidRPr="45445124">
        <w:rPr>
          <w:b/>
          <w:bCs/>
        </w:rPr>
        <w:t xml:space="preserve">Hybrid human-AI models: </w:t>
      </w:r>
      <w:r w:rsidRPr="45445124">
        <w:t>For high-stakes decisions (retirement drawdown, lump-sum inheritance, pension consolidation), platforms should offer or mandate human advisor review. Bank of America’s Merrill model ($456B combined assets) demonstrates that hybrid approaches are commercially viable, not just ethically desirable.</w:t>
      </w:r>
    </w:p>
    <w:p w14:paraId="3696F3F6" w14:textId="77777777" w:rsidR="0032538D" w:rsidRDefault="45445124">
      <w:pPr>
        <w:pStyle w:val="ListParagraph"/>
        <w:numPr>
          <w:ilvl w:val="0"/>
          <w:numId w:val="1"/>
        </w:numPr>
        <w:spacing w:after="100" w:line="276" w:lineRule="auto"/>
      </w:pPr>
      <w:r w:rsidRPr="45445124">
        <w:rPr>
          <w:b/>
          <w:bCs/>
        </w:rPr>
        <w:t xml:space="preserve">Inclusive interfaces: </w:t>
      </w:r>
      <w:r w:rsidRPr="45445124">
        <w:t>Multilingual, voice-accessible onboarding and portfolio management for users with low digital literacy. Risk questionnaires should be validated across demographic groups to ensure they do not systematically misprofile non-standard users.</w:t>
      </w:r>
    </w:p>
    <w:p w14:paraId="6D35133B" w14:textId="77777777" w:rsidR="0032538D" w:rsidRDefault="45445124">
      <w:pPr>
        <w:pStyle w:val="ListParagraph"/>
        <w:numPr>
          <w:ilvl w:val="0"/>
          <w:numId w:val="1"/>
        </w:numPr>
        <w:spacing w:after="100" w:line="276" w:lineRule="auto"/>
      </w:pPr>
      <w:r w:rsidRPr="45445124">
        <w:rPr>
          <w:b/>
          <w:bCs/>
        </w:rPr>
        <w:t xml:space="preserve">Pensioner-specific products: </w:t>
      </w:r>
      <w:r w:rsidRPr="45445124">
        <w:t>Akhtar et al. (2025) identify a $3 billion opportunity in retirement-specific robo-advisory products that are currently absent from the market. Decumulation (spending down a portfolio in retirement) requires fundamentally different algorithms than accumulation (building a portfolio), and current platforms are designed almost exclusively for the latter.</w:t>
      </w:r>
    </w:p>
    <w:p w14:paraId="452FEDD1" w14:textId="77777777" w:rsidR="0032538D" w:rsidRDefault="45445124">
      <w:pPr>
        <w:pStyle w:val="ListParagraph"/>
        <w:numPr>
          <w:ilvl w:val="0"/>
          <w:numId w:val="1"/>
        </w:numPr>
        <w:spacing w:after="100" w:line="276" w:lineRule="auto"/>
      </w:pPr>
      <w:r w:rsidRPr="45445124">
        <w:rPr>
          <w:b/>
          <w:bCs/>
        </w:rPr>
        <w:t xml:space="preserve">Transparent objective functions: </w:t>
      </w:r>
      <w:r w:rsidRPr="45445124">
        <w:t>Platforms should publish what their algorithm optimises for (return maximisation? risk-adjusted return? platform revenue? engagement?) so that users — and regulators — can assess alignment with client interests.</w:t>
      </w:r>
    </w:p>
    <w:p w14:paraId="20280689" w14:textId="77777777" w:rsidR="0032538D" w:rsidRDefault="00153617">
      <w:pPr>
        <w:pStyle w:val="heading20"/>
      </w:pPr>
      <w:r>
        <w:t>3.3 Financial Literacy Integration</w:t>
      </w:r>
    </w:p>
    <w:p w14:paraId="7EF11D17" w14:textId="77777777" w:rsidR="0032538D" w:rsidRDefault="00153617">
      <w:pPr>
        <w:spacing w:after="160" w:line="276" w:lineRule="auto"/>
      </w:pPr>
      <w:r>
        <w:t>This is the most difficult pillar, because — as noted in Section 2.2 — education and full automation exist in tension. We propose a model of contextual, embedded education rather than bolt-on content:</w:t>
      </w:r>
    </w:p>
    <w:p w14:paraId="7698B360" w14:textId="77777777" w:rsidR="0032538D" w:rsidRDefault="00153617">
      <w:pPr>
        <w:pStyle w:val="ListParagraph"/>
        <w:numPr>
          <w:ilvl w:val="0"/>
          <w:numId w:val="1"/>
        </w:numPr>
        <w:spacing w:after="100" w:line="276" w:lineRule="auto"/>
      </w:pPr>
      <w:r>
        <w:rPr>
          <w:b/>
          <w:bCs/>
        </w:rPr>
        <w:t xml:space="preserve">Action-triggered explanations: </w:t>
      </w:r>
      <w:r>
        <w:t>Every automated action (rebalancing, tax-loss harvest, dividend reinvestment) should be accompanied by a plain-language explanation of what happened, why, and what the alternative would have been. The goal is not to make the user an expert but to prevent ‘informed passivity.’</w:t>
      </w:r>
    </w:p>
    <w:p w14:paraId="4A0B2C63" w14:textId="77777777" w:rsidR="0032538D" w:rsidRDefault="45445124">
      <w:pPr>
        <w:pStyle w:val="ListParagraph"/>
        <w:numPr>
          <w:ilvl w:val="0"/>
          <w:numId w:val="1"/>
        </w:numPr>
        <w:spacing w:after="100" w:line="276" w:lineRule="auto"/>
      </w:pPr>
      <w:r w:rsidRPr="45445124">
        <w:rPr>
          <w:b/>
          <w:bCs/>
        </w:rPr>
        <w:t xml:space="preserve">Volatility education: </w:t>
      </w:r>
      <w:r w:rsidRPr="45445124">
        <w:t>Market downturns should trigger explanatory notifications that contextualise the event, explain the algorithm’s response, and discourage panic selling — a documented behavioural risk in automated contexts.</w:t>
      </w:r>
    </w:p>
    <w:p w14:paraId="2739C3B8" w14:textId="77777777" w:rsidR="0032538D" w:rsidRDefault="00153617">
      <w:pPr>
        <w:pStyle w:val="ListParagraph"/>
        <w:numPr>
          <w:ilvl w:val="0"/>
          <w:numId w:val="1"/>
        </w:numPr>
        <w:spacing w:after="100" w:line="276" w:lineRule="auto"/>
      </w:pPr>
      <w:r>
        <w:rPr>
          <w:b/>
          <w:bCs/>
        </w:rPr>
        <w:t xml:space="preserve">Commitment-Trust Theory: </w:t>
      </w:r>
      <w:r>
        <w:t>Morgan &amp; Hunt (1994), as applied by Akhtar et al. (2025), argue that platforms investing in user education build more durable customer relationships. This aligns commercial incentives (reduced churn, higher lifetime value) with ethical ones (informed consent, financial capability). The mitigation is most likely to succeed where ethics and economics point in the same direction.</w:t>
      </w:r>
    </w:p>
    <w:p w14:paraId="2EFF4073" w14:textId="77777777" w:rsidR="0032538D" w:rsidRDefault="00153617">
      <w:pPr>
        <w:spacing w:after="140" w:line="276" w:lineRule="auto"/>
      </w:pPr>
      <w:r>
        <w:rPr>
          <w:i/>
          <w:iCs/>
          <w:color w:val="555555"/>
        </w:rPr>
        <w:t>Honest limitation: financial literacy integration cannot fully resolve the structural tension between automation and understanding. Some users will always prefer total delegation. The goal is to make that delegation informed rather than blind.</w:t>
      </w:r>
    </w:p>
    <w:p w14:paraId="72A3D3EC" w14:textId="77777777" w:rsidR="0032538D" w:rsidRDefault="00153617">
      <w:r>
        <w:br w:type="page"/>
      </w:r>
    </w:p>
    <w:p w14:paraId="2B2A7A39" w14:textId="77777777" w:rsidR="0032538D" w:rsidRDefault="00153617">
      <w:pPr>
        <w:pStyle w:val="heading10"/>
      </w:pPr>
      <w:r>
        <w:t>Conclusion</w:t>
      </w:r>
    </w:p>
    <w:p w14:paraId="3BE55462" w14:textId="77777777" w:rsidR="0032538D" w:rsidRDefault="45445124">
      <w:pPr>
        <w:spacing w:after="160" w:line="276" w:lineRule="auto"/>
      </w:pPr>
      <w:r w:rsidRPr="45445124">
        <w:t>Robo-advisory is not merely an incremental improvement in financial services delivery; it is a structural transformation of the advisory relationship itself. The human advisor — with all their biases, conflicts, and limitations — at least operated within a framework of personal accountability and professional obligation. The algorithm replaces this with computational efficiency, but in doing so strips away the relational, contextual, and fiduciary dimensions that made the advisory relationship meaningful.</w:t>
      </w:r>
    </w:p>
    <w:p w14:paraId="4417CAFD" w14:textId="77777777" w:rsidR="0032538D" w:rsidRDefault="45445124">
      <w:pPr>
        <w:spacing w:after="160" w:line="276" w:lineRule="auto"/>
      </w:pPr>
      <w:r w:rsidRPr="45445124">
        <w:t>The ‘democratisation’ narrative is partially true: fees are lower, minimums are smaller, and access is broader. But the evidence suggests that this democratisation is shallow. It extends access without extending understanding, lowers costs without addressing exclusion, and automates decisions without automating accountability. The myth is not that robo-advisors are useless — they are genuinely useful — but that their usefulness is evenly distributed. It is not. The benefits accrue disproportionately to those who were already well-served; the risks fall disproportionately on those who were not.</w:t>
      </w:r>
    </w:p>
    <w:p w14:paraId="31C0EA61" w14:textId="77777777" w:rsidR="0032538D" w:rsidRDefault="00153617">
      <w:pPr>
        <w:spacing w:after="160" w:line="276" w:lineRule="auto"/>
      </w:pPr>
      <w:r>
        <w:t>Our mitigation framework — regulatory enforcement, inclusive redesign, and embedded education — is not a complete solution. It is a starting position for a sector that has, so far, treated ethical challenges as reputational risks to be managed rather than structural problems to be solved.</w:t>
      </w:r>
    </w:p>
    <w:p w14:paraId="0D0B940D" w14:textId="77777777" w:rsidR="0032538D" w:rsidRDefault="00153617">
      <w:r>
        <w:br w:type="page"/>
      </w:r>
    </w:p>
    <w:p w14:paraId="071E4E01" w14:textId="77777777" w:rsidR="0032538D" w:rsidRDefault="00153617">
      <w:pPr>
        <w:pStyle w:val="heading10"/>
      </w:pPr>
      <w:r>
        <w:t>References</w:t>
      </w:r>
    </w:p>
    <w:p w14:paraId="14DC3B27" w14:textId="77777777" w:rsidR="0032538D" w:rsidRDefault="45445124">
      <w:pPr>
        <w:spacing w:after="160" w:line="276" w:lineRule="auto"/>
      </w:pPr>
      <w:r w:rsidRPr="45445124">
        <w:t>Akhtar, N., Akhtar, M.N. &amp; Laeeq, K. (2025). Robo-advisory and consumer financial behaviour: A systematic review. International Journal of Consumer Studies, 49(1).</w:t>
      </w:r>
    </w:p>
    <w:p w14:paraId="7726A80F" w14:textId="77777777" w:rsidR="0032538D" w:rsidRDefault="45445124">
      <w:pPr>
        <w:spacing w:after="160" w:line="276" w:lineRule="auto"/>
      </w:pPr>
      <w:r w:rsidRPr="45445124">
        <w:t>Belanche, D., Casalo, L.V. &amp; Flavián, C. (2019). Artificial intelligence in FinTech: understanding robo-advisors adoption among customers. Industrial Management &amp; Data Systems, 119(7), 1411–1430.</w:t>
      </w:r>
    </w:p>
    <w:p w14:paraId="762D41AB" w14:textId="77777777" w:rsidR="0032538D" w:rsidRDefault="45445124">
      <w:pPr>
        <w:spacing w:after="160" w:line="276" w:lineRule="auto"/>
      </w:pPr>
      <w:r w:rsidRPr="45445124">
        <w:t>D’Acunto, F., Prabhala, N. &amp; Rossi, A.G. (2019). The promises and pitfalls of robo-advising. The Review of Financial Studies, 32(5), 1983–2020.</w:t>
      </w:r>
    </w:p>
    <w:p w14:paraId="565C6793" w14:textId="77777777" w:rsidR="0032538D" w:rsidRDefault="45445124" w:rsidP="45445124">
      <w:pPr>
        <w:spacing w:after="160" w:line="276" w:lineRule="auto"/>
      </w:pPr>
      <w:r w:rsidRPr="45445124">
        <w:t>Deloitte (2024). The Future of Wealth Management: How GenAI Will Transform Financial Advisory.</w:t>
      </w:r>
    </w:p>
    <w:p w14:paraId="54A9CFA6" w14:textId="77777777" w:rsidR="0032538D" w:rsidRDefault="00153617">
      <w:pPr>
        <w:spacing w:after="160" w:line="276" w:lineRule="auto"/>
      </w:pPr>
      <w:r>
        <w:t>European Parliament (2024). Regulation (EU) 2024/1689 — The AI Act. Official Journal of the European Union.</w:t>
      </w:r>
    </w:p>
    <w:p w14:paraId="1DA76235" w14:textId="77777777" w:rsidR="0032538D" w:rsidRDefault="45445124">
      <w:pPr>
        <w:spacing w:after="160" w:line="276" w:lineRule="auto"/>
      </w:pPr>
      <w:r w:rsidRPr="45445124">
        <w:t>Feenberg, A. (2002). Transforming Technology: A Critical Theory Revisited. Oxford University Press.</w:t>
      </w:r>
    </w:p>
    <w:p w14:paraId="72D66C3C" w14:textId="77777777" w:rsidR="0032538D" w:rsidRDefault="00153617">
      <w:pPr>
        <w:spacing w:after="160" w:line="276" w:lineRule="auto"/>
      </w:pPr>
      <w:r>
        <w:t>Hayes, A. (2021). Robo-advisors. Investopedia.</w:t>
      </w:r>
    </w:p>
    <w:p w14:paraId="78562E5F" w14:textId="77777777" w:rsidR="0032538D" w:rsidRDefault="45445124">
      <w:pPr>
        <w:spacing w:after="160" w:line="276" w:lineRule="auto"/>
      </w:pPr>
      <w:r w:rsidRPr="45445124">
        <w:t>Markowitz, H. (1952). Portfolio selection. The Journal of Finance, 7(1), 77–91.</w:t>
      </w:r>
    </w:p>
    <w:p w14:paraId="3FC96DCB" w14:textId="77777777" w:rsidR="0032538D" w:rsidRDefault="00153617">
      <w:pPr>
        <w:spacing w:after="160" w:line="276" w:lineRule="auto"/>
      </w:pPr>
      <w:r>
        <w:t>Mezzanotte, F. (2020). Robo-advisory in Switzerland: regulatory and ethical challenges. Journal of Financial Regulation and Compliance, 28(4).</w:t>
      </w:r>
    </w:p>
    <w:p w14:paraId="2AB020A4" w14:textId="77777777" w:rsidR="0032538D" w:rsidRDefault="45445124">
      <w:pPr>
        <w:spacing w:after="160" w:line="276" w:lineRule="auto"/>
      </w:pPr>
      <w:r w:rsidRPr="45445124">
        <w:t>Morgan, R.M. &amp; Hunt, S.D. (1994). The commitment-trust theory of relationship marketing. Journal of Marketing, 58(3), 20–38.</w:t>
      </w:r>
    </w:p>
    <w:p w14:paraId="46712858" w14:textId="77777777" w:rsidR="0032538D" w:rsidRDefault="00153617">
      <w:pPr>
        <w:spacing w:after="160" w:line="276" w:lineRule="auto"/>
      </w:pPr>
      <w:r>
        <w:t>SEC (2022). In the Matter of Charles Schwab &amp; Co. Inc. Administrative Proceeding File No. 3-20864.</w:t>
      </w:r>
    </w:p>
    <w:p w14:paraId="7FA184E0" w14:textId="77777777" w:rsidR="0032538D" w:rsidRDefault="00153617">
      <w:pPr>
        <w:spacing w:after="160" w:line="276" w:lineRule="auto"/>
      </w:pPr>
      <w:r>
        <w:t>Statista (2025). Robo-Advisors — Worldwide Market Data.</w:t>
      </w:r>
    </w:p>
    <w:p w14:paraId="29F155EE" w14:textId="77777777" w:rsidR="0032538D" w:rsidRDefault="45445124">
      <w:pPr>
        <w:spacing w:after="160" w:line="276" w:lineRule="auto"/>
      </w:pPr>
      <w:r w:rsidRPr="45445124">
        <w:t>Zuboff, S. (2015). Big other: Surveillance capitalism and the prospects of an information civilisation. Journal of Information Technology, 30(1), 75–89.</w:t>
      </w:r>
    </w:p>
    <w:p w14:paraId="2F25927D" w14:textId="77777777" w:rsidR="006672D6" w:rsidRDefault="006672D6">
      <w:pPr>
        <w:spacing w:after="160" w:line="276" w:lineRule="auto"/>
      </w:pPr>
    </w:p>
    <w:p w14:paraId="6CFD0210" w14:textId="77777777" w:rsidR="006672D6" w:rsidRDefault="006672D6">
      <w:pPr>
        <w:spacing w:after="160" w:line="276" w:lineRule="auto"/>
      </w:pPr>
    </w:p>
    <w:p w14:paraId="41450BA3" w14:textId="77777777" w:rsidR="006672D6" w:rsidRDefault="006672D6">
      <w:pPr>
        <w:spacing w:after="160" w:line="276" w:lineRule="auto"/>
      </w:pPr>
    </w:p>
    <w:p w14:paraId="10DC454F" w14:textId="77777777" w:rsidR="006672D6" w:rsidRDefault="006672D6">
      <w:pPr>
        <w:spacing w:after="160" w:line="276" w:lineRule="auto"/>
      </w:pPr>
    </w:p>
    <w:p w14:paraId="6D5B9A0C" w14:textId="77777777" w:rsidR="006672D6" w:rsidRDefault="006672D6">
      <w:pPr>
        <w:spacing w:after="160" w:line="276" w:lineRule="auto"/>
      </w:pPr>
    </w:p>
    <w:p w14:paraId="6E31C0F5" w14:textId="77777777" w:rsidR="006672D6" w:rsidRDefault="006672D6">
      <w:pPr>
        <w:spacing w:after="160" w:line="276" w:lineRule="auto"/>
      </w:pPr>
    </w:p>
    <w:p w14:paraId="05C467ED" w14:textId="77777777" w:rsidR="006672D6" w:rsidRDefault="006672D6">
      <w:pPr>
        <w:spacing w:after="160" w:line="276" w:lineRule="auto"/>
      </w:pPr>
    </w:p>
    <w:p w14:paraId="5AD39862" w14:textId="77777777" w:rsidR="006672D6" w:rsidRDefault="006672D6">
      <w:pPr>
        <w:spacing w:after="160" w:line="276" w:lineRule="auto"/>
      </w:pPr>
    </w:p>
    <w:p w14:paraId="0289C4AB" w14:textId="77777777" w:rsidR="006672D6" w:rsidRDefault="006672D6">
      <w:pPr>
        <w:spacing w:after="160" w:line="276" w:lineRule="auto"/>
      </w:pPr>
    </w:p>
    <w:p w14:paraId="7A4A7829" w14:textId="77777777" w:rsidR="006672D6" w:rsidRDefault="006672D6">
      <w:pPr>
        <w:spacing w:after="160" w:line="276" w:lineRule="auto"/>
      </w:pPr>
    </w:p>
    <w:p w14:paraId="6777B924" w14:textId="77777777" w:rsidR="009D1EE3" w:rsidRDefault="009D1EE3">
      <w:pPr>
        <w:spacing w:after="160" w:line="276" w:lineRule="auto"/>
      </w:pPr>
    </w:p>
    <w:p w14:paraId="77069B2D" w14:textId="77777777" w:rsidR="009D1EE3" w:rsidRDefault="009D1EE3">
      <w:pPr>
        <w:spacing w:after="160" w:line="276" w:lineRule="auto"/>
      </w:pPr>
    </w:p>
    <w:sectPr w:rsidR="009D1E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FF9"/>
    <w:multiLevelType w:val="hybridMultilevel"/>
    <w:tmpl w:val="FFFFFFFF"/>
    <w:lvl w:ilvl="0" w:tplc="A0508998">
      <w:start w:val="1"/>
      <w:numFmt w:val="decimal"/>
      <w:lvlText w:val="%1."/>
      <w:lvlJc w:val="left"/>
      <w:pPr>
        <w:ind w:left="720" w:hanging="360"/>
      </w:pPr>
    </w:lvl>
    <w:lvl w:ilvl="1" w:tplc="30885DC0">
      <w:numFmt w:val="decimal"/>
      <w:lvlText w:val=""/>
      <w:lvlJc w:val="left"/>
    </w:lvl>
    <w:lvl w:ilvl="2" w:tplc="F926F080">
      <w:numFmt w:val="decimal"/>
      <w:lvlText w:val=""/>
      <w:lvlJc w:val="left"/>
    </w:lvl>
    <w:lvl w:ilvl="3" w:tplc="22E873B6">
      <w:numFmt w:val="decimal"/>
      <w:lvlText w:val=""/>
      <w:lvlJc w:val="left"/>
    </w:lvl>
    <w:lvl w:ilvl="4" w:tplc="888AB0E6">
      <w:numFmt w:val="decimal"/>
      <w:lvlText w:val=""/>
      <w:lvlJc w:val="left"/>
    </w:lvl>
    <w:lvl w:ilvl="5" w:tplc="D4A674A0">
      <w:numFmt w:val="decimal"/>
      <w:lvlText w:val=""/>
      <w:lvlJc w:val="left"/>
    </w:lvl>
    <w:lvl w:ilvl="6" w:tplc="AE8A56A2">
      <w:numFmt w:val="decimal"/>
      <w:lvlText w:val=""/>
      <w:lvlJc w:val="left"/>
    </w:lvl>
    <w:lvl w:ilvl="7" w:tplc="D7961C10">
      <w:numFmt w:val="decimal"/>
      <w:lvlText w:val=""/>
      <w:lvlJc w:val="left"/>
    </w:lvl>
    <w:lvl w:ilvl="8" w:tplc="E6F6210A">
      <w:numFmt w:val="decimal"/>
      <w:lvlText w:val=""/>
      <w:lvlJc w:val="left"/>
    </w:lvl>
  </w:abstractNum>
  <w:abstractNum w:abstractNumId="1" w15:restartNumberingAfterBreak="0">
    <w:nsid w:val="1D2A2AF8"/>
    <w:multiLevelType w:val="hybridMultilevel"/>
    <w:tmpl w:val="FFFFFFFF"/>
    <w:lvl w:ilvl="0" w:tplc="4816CE5E">
      <w:start w:val="1"/>
      <w:numFmt w:val="bullet"/>
      <w:lvlText w:val="●"/>
      <w:lvlJc w:val="left"/>
      <w:pPr>
        <w:ind w:left="720" w:hanging="360"/>
      </w:pPr>
    </w:lvl>
    <w:lvl w:ilvl="1" w:tplc="762CE026">
      <w:start w:val="1"/>
      <w:numFmt w:val="bullet"/>
      <w:lvlText w:val="○"/>
      <w:lvlJc w:val="left"/>
      <w:pPr>
        <w:ind w:left="1440" w:hanging="360"/>
      </w:pPr>
    </w:lvl>
    <w:lvl w:ilvl="2" w:tplc="A20AE078">
      <w:start w:val="1"/>
      <w:numFmt w:val="bullet"/>
      <w:lvlText w:val="■"/>
      <w:lvlJc w:val="left"/>
      <w:pPr>
        <w:ind w:left="2160" w:hanging="360"/>
      </w:pPr>
    </w:lvl>
    <w:lvl w:ilvl="3" w:tplc="E72C1950">
      <w:start w:val="1"/>
      <w:numFmt w:val="bullet"/>
      <w:lvlText w:val="●"/>
      <w:lvlJc w:val="left"/>
      <w:pPr>
        <w:ind w:left="2880" w:hanging="360"/>
      </w:pPr>
    </w:lvl>
    <w:lvl w:ilvl="4" w:tplc="91BA2C14">
      <w:start w:val="1"/>
      <w:numFmt w:val="bullet"/>
      <w:lvlText w:val="○"/>
      <w:lvlJc w:val="left"/>
      <w:pPr>
        <w:ind w:left="3600" w:hanging="360"/>
      </w:pPr>
    </w:lvl>
    <w:lvl w:ilvl="5" w:tplc="46103B46">
      <w:start w:val="1"/>
      <w:numFmt w:val="bullet"/>
      <w:lvlText w:val="■"/>
      <w:lvlJc w:val="left"/>
      <w:pPr>
        <w:ind w:left="4320" w:hanging="360"/>
      </w:pPr>
    </w:lvl>
    <w:lvl w:ilvl="6" w:tplc="76368CEA">
      <w:start w:val="1"/>
      <w:numFmt w:val="bullet"/>
      <w:lvlText w:val="●"/>
      <w:lvlJc w:val="left"/>
      <w:pPr>
        <w:ind w:left="5040" w:hanging="360"/>
      </w:pPr>
    </w:lvl>
    <w:lvl w:ilvl="7" w:tplc="5FC0DFF6">
      <w:start w:val="1"/>
      <w:numFmt w:val="bullet"/>
      <w:lvlText w:val="●"/>
      <w:lvlJc w:val="left"/>
      <w:pPr>
        <w:ind w:left="5760" w:hanging="360"/>
      </w:pPr>
    </w:lvl>
    <w:lvl w:ilvl="8" w:tplc="89BEAF6A">
      <w:start w:val="1"/>
      <w:numFmt w:val="bullet"/>
      <w:lvlText w:val="●"/>
      <w:lvlJc w:val="left"/>
      <w:pPr>
        <w:ind w:left="6480" w:hanging="360"/>
      </w:pPr>
    </w:lvl>
  </w:abstractNum>
  <w:abstractNum w:abstractNumId="2" w15:restartNumberingAfterBreak="0">
    <w:nsid w:val="2EC06BFA"/>
    <w:multiLevelType w:val="hybridMultilevel"/>
    <w:tmpl w:val="FFFFFFFF"/>
    <w:lvl w:ilvl="0" w:tplc="6C34A0EA">
      <w:start w:val="1"/>
      <w:numFmt w:val="bullet"/>
      <w:lvlText w:val="•"/>
      <w:lvlJc w:val="left"/>
      <w:pPr>
        <w:ind w:left="720" w:hanging="360"/>
      </w:pPr>
    </w:lvl>
    <w:lvl w:ilvl="1" w:tplc="C1903BA4">
      <w:start w:val="1"/>
      <w:numFmt w:val="bullet"/>
      <w:lvlText w:val="–"/>
      <w:lvlJc w:val="left"/>
      <w:pPr>
        <w:ind w:left="1440" w:hanging="360"/>
      </w:pPr>
    </w:lvl>
    <w:lvl w:ilvl="2" w:tplc="73B2FC96">
      <w:numFmt w:val="decimal"/>
      <w:lvlText w:val=""/>
      <w:lvlJc w:val="left"/>
    </w:lvl>
    <w:lvl w:ilvl="3" w:tplc="D2A6D07A">
      <w:numFmt w:val="decimal"/>
      <w:lvlText w:val=""/>
      <w:lvlJc w:val="left"/>
    </w:lvl>
    <w:lvl w:ilvl="4" w:tplc="5D14202C">
      <w:numFmt w:val="decimal"/>
      <w:lvlText w:val=""/>
      <w:lvlJc w:val="left"/>
    </w:lvl>
    <w:lvl w:ilvl="5" w:tplc="7A18575C">
      <w:numFmt w:val="decimal"/>
      <w:lvlText w:val=""/>
      <w:lvlJc w:val="left"/>
    </w:lvl>
    <w:lvl w:ilvl="6" w:tplc="E008328E">
      <w:numFmt w:val="decimal"/>
      <w:lvlText w:val=""/>
      <w:lvlJc w:val="left"/>
    </w:lvl>
    <w:lvl w:ilvl="7" w:tplc="02748228">
      <w:numFmt w:val="decimal"/>
      <w:lvlText w:val=""/>
      <w:lvlJc w:val="left"/>
    </w:lvl>
    <w:lvl w:ilvl="8" w:tplc="A2228C2E">
      <w:numFmt w:val="decimal"/>
      <w:lvlText w:val=""/>
      <w:lvlJc w:val="left"/>
    </w:lvl>
  </w:abstractNum>
  <w:num w:numId="1" w16cid:durableId="1017342008">
    <w:abstractNumId w:val="2"/>
    <w:lvlOverride w:ilvl="0">
      <w:startOverride w:val="1"/>
    </w:lvlOverride>
  </w:num>
  <w:num w:numId="2" w16cid:durableId="598951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445124"/>
    <w:rsid w:val="0002245A"/>
    <w:rsid w:val="0004395C"/>
    <w:rsid w:val="0007105D"/>
    <w:rsid w:val="00082D13"/>
    <w:rsid w:val="00094C5B"/>
    <w:rsid w:val="00097F68"/>
    <w:rsid w:val="000B0F64"/>
    <w:rsid w:val="00121073"/>
    <w:rsid w:val="00153617"/>
    <w:rsid w:val="001C716A"/>
    <w:rsid w:val="001E5E68"/>
    <w:rsid w:val="001F62F4"/>
    <w:rsid w:val="002321D0"/>
    <w:rsid w:val="00271271"/>
    <w:rsid w:val="002E7CA2"/>
    <w:rsid w:val="002F7C73"/>
    <w:rsid w:val="003077FE"/>
    <w:rsid w:val="0032538D"/>
    <w:rsid w:val="0035204E"/>
    <w:rsid w:val="00366EA1"/>
    <w:rsid w:val="00394277"/>
    <w:rsid w:val="003A08F0"/>
    <w:rsid w:val="003A57E7"/>
    <w:rsid w:val="003E296E"/>
    <w:rsid w:val="00435525"/>
    <w:rsid w:val="005670A3"/>
    <w:rsid w:val="00575AD8"/>
    <w:rsid w:val="00591A1C"/>
    <w:rsid w:val="00594C9D"/>
    <w:rsid w:val="005D20C6"/>
    <w:rsid w:val="005E3C74"/>
    <w:rsid w:val="00606D4A"/>
    <w:rsid w:val="00626EAE"/>
    <w:rsid w:val="00657A4C"/>
    <w:rsid w:val="00660B63"/>
    <w:rsid w:val="0066616C"/>
    <w:rsid w:val="006672D6"/>
    <w:rsid w:val="0072600F"/>
    <w:rsid w:val="00753FBB"/>
    <w:rsid w:val="007659E0"/>
    <w:rsid w:val="00772C11"/>
    <w:rsid w:val="0078124D"/>
    <w:rsid w:val="00783937"/>
    <w:rsid w:val="00810C25"/>
    <w:rsid w:val="008169C4"/>
    <w:rsid w:val="0082250B"/>
    <w:rsid w:val="00864EFD"/>
    <w:rsid w:val="00875AF4"/>
    <w:rsid w:val="00882B47"/>
    <w:rsid w:val="008B0618"/>
    <w:rsid w:val="009C5558"/>
    <w:rsid w:val="009D1EE3"/>
    <w:rsid w:val="009D4800"/>
    <w:rsid w:val="00AB542D"/>
    <w:rsid w:val="00AE14D9"/>
    <w:rsid w:val="00B07531"/>
    <w:rsid w:val="00B10133"/>
    <w:rsid w:val="00B365E2"/>
    <w:rsid w:val="00B410D7"/>
    <w:rsid w:val="00B81537"/>
    <w:rsid w:val="00BC7884"/>
    <w:rsid w:val="00C469CE"/>
    <w:rsid w:val="00C54BAB"/>
    <w:rsid w:val="00C570C2"/>
    <w:rsid w:val="00C8432D"/>
    <w:rsid w:val="00C957AC"/>
    <w:rsid w:val="00D22F28"/>
    <w:rsid w:val="00D31D89"/>
    <w:rsid w:val="00D44162"/>
    <w:rsid w:val="00D96B15"/>
    <w:rsid w:val="00DD01A7"/>
    <w:rsid w:val="00DE032D"/>
    <w:rsid w:val="00E121FE"/>
    <w:rsid w:val="00E66A8D"/>
    <w:rsid w:val="00E91211"/>
    <w:rsid w:val="00EE7AE9"/>
    <w:rsid w:val="00F66155"/>
    <w:rsid w:val="00F947F3"/>
    <w:rsid w:val="27A16309"/>
    <w:rsid w:val="45445124"/>
    <w:rsid w:val="6077AE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4FA2B1"/>
  <w15:docId w15:val="{E4C49853-C033-44C4-878B-B529B39D3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40"/>
      <w:outlineLvl w:val="0"/>
    </w:pPr>
    <w:rPr>
      <w:b/>
      <w:bCs/>
      <w:color w:val="1F4E79"/>
      <w:sz w:val="32"/>
      <w:szCs w:val="32"/>
    </w:rPr>
  </w:style>
  <w:style w:type="paragraph" w:customStyle="1" w:styleId="heading20">
    <w:name w:val="heading 20"/>
    <w:qFormat/>
    <w:pPr>
      <w:spacing w:before="260" w:after="120"/>
      <w:outlineLvl w:val="1"/>
    </w:pPr>
    <w:rPr>
      <w:b/>
      <w:bCs/>
      <w:color w:val="1F4E79"/>
      <w:sz w:val="26"/>
      <w:szCs w:val="26"/>
    </w:rPr>
  </w:style>
  <w:style w:type="paragraph" w:customStyle="1" w:styleId="heading30">
    <w:name w:val="heading 30"/>
    <w:qFormat/>
    <w:pPr>
      <w:spacing w:before="200" w:after="100"/>
      <w:outlineLvl w:val="2"/>
    </w:pPr>
    <w:rPr>
      <w:b/>
      <w:bCs/>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4136FEAAE54904BA2F7780BF5DF778F" ma:contentTypeVersion="3" ma:contentTypeDescription="Ein neues Dokument erstellen." ma:contentTypeScope="" ma:versionID="714e6c369a66794f04503752cd7138c9">
  <xsd:schema xmlns:xsd="http://www.w3.org/2001/XMLSchema" xmlns:xs="http://www.w3.org/2001/XMLSchema" xmlns:p="http://schemas.microsoft.com/office/2006/metadata/properties" xmlns:ns2="17f8a464-db2c-4734-85b1-e6ffac94af94" targetNamespace="http://schemas.microsoft.com/office/2006/metadata/properties" ma:root="true" ma:fieldsID="ff9967d8a1c6c376bee95bce8e9ef1e7" ns2:_="">
    <xsd:import namespace="17f8a464-db2c-4734-85b1-e6ffac94af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8a464-db2c-4734-85b1-e6ffac94a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DA2B7A-14A1-41F9-8AB6-BD1093076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8a464-db2c-4734-85b1-e6ffac94a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A71DBA-DB67-47CE-8CC7-D097269216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7B503C-FD84-4069-B37D-B6A89A7F5F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Nakhle, Victor</cp:lastModifiedBy>
  <cp:revision>2</cp:revision>
  <dcterms:created xsi:type="dcterms:W3CDTF">2026-04-10T09:44:00Z</dcterms:created>
  <dcterms:modified xsi:type="dcterms:W3CDTF">2026-04-20T09:33:00Z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0x010100C4136FEAAE54904BA2F7780BF5DF778F</vt:lpwstr>
  </property>
</Properties>
</file>