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a x64 ELF relocatable file, cannot execute it huh? (maybe just because IDK)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static analysis is required!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it into IDA, F5 to get pseudocode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first, you can see it call some strange functions (at least, for me it’s strange, i seldom see them) like kmem_cache_alloc_trace or orifinal_read_call, d_path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the most important thing we should notice here is flag variable, which is was written by qmemcpy(), has length equal to 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Bunch of code after that, i think we shouldn’t pay attentions for them because it doesn’t affect or use flag variable, So find code where them affect or use flag var, easy huh?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047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we go, simple xor algorithm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use python script to find the output which is FLAG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buff variable here is 29 byte at first it copy into flag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