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Ankit Vyas</w:t>
      </w:r>
    </w:p>
    <w:p>
      <w:r>
        <w:t>Date: August 14, 2025</w:t>
      </w:r>
    </w:p>
    <w:p>
      <w:r>
        <w:t>Theme: precious metals - silver</w:t>
      </w:r>
    </w:p>
    <w:p/>
    <w:p>
      <w:r>
        <w:t>What I Learned This Week</w:t>
      </w:r>
    </w:p>
    <w:p>
      <w:r>
        <w:t>Share</w:t>
      </w:r>
    </w:p>
    <w:p>
      <w:r>
        <w:t>Reading Time: 6 minutes</w:t>
      </w:r>
    </w:p>
    <w:p>
      <w:r>
        <w:t></w:t>
        <w:br/>
        <w:t>Listen to Audio (10:54)</w:t>
      </w:r>
    </w:p>
    <w:p>
      <w:r>
        <w:t>The recent appointment of Stephen Miran to the Fed Board of Governors, and the</w:t>
      </w:r>
    </w:p>
    <w:p>
      <w:r>
        <w:t>replacement of the head of the Bureau of Labor Statistics with a Trump</w:t>
      </w:r>
    </w:p>
    <w:p>
      <w:r>
        <w:t>Administration ally, E.J. Antoni, are the latest pieces of evidence that the bear market</w:t>
      </w:r>
    </w:p>
    <w:p>
      <w:r>
        <w:t>in the USD is just getting started. As The Wall Street Journal’s Editorial Board wrote on</w:t>
      </w:r>
    </w:p>
    <w:p>
      <w:r>
        <w:t>August 11th: “We can’t recall when a President nominated to the Fed someone whose</w:t>
      </w:r>
    </w:p>
    <w:p>
      <w:r>
        <w:t>abiding policy conviction is to weaken the U.S. dollar.”</w:t>
      </w:r>
    </w:p>
    <w:p>
      <w:r>
        <w:t>In our view, the handwriting on the wall could not be clearer. We continue to advise our</w:t>
      </w:r>
    </w:p>
    <w:p>
      <w:r>
        <w:t>readers to prepare for an inflationary environment via the purchase of hard assets,</w:t>
      </w:r>
    </w:p>
    <w:p>
      <w:r>
        <w:t>especially precious metals such as silver, which has an excellent long-term inverse</w:t>
      </w:r>
    </w:p>
    <w:p>
      <w:r>
        <w:t>correlation to the U.S. Dollar Index (DXY, 97.84), as shown in the left-hand chart</w:t>
      </w:r>
    </w:p>
    <w:p>
      <w:r>
        <w:t>below. Although silver’s YTD price gain of 27% is more than double the S&amp;P 500’s</w:t>
      </w:r>
    </w:p>
    <w:p>
      <w:r>
        <w:t>YTD gain, the gold/silver ratio (GSR), at 88.4x, is still almost 50% above its long-run</w:t>
      </w:r>
    </w:p>
    <w:p>
      <w:r>
        <w:t>average of 60x, indicating that the “poor man’s gold” remains undervalued. (See right-</w:t>
      </w:r>
    </w:p>
    <w:p>
      <w:r>
        <w:t>hand chart below.)</w:t>
      </w:r>
    </w:p>
    <w:p>
      <w:r>
        <w:rPr>
          <w:i/>
        </w:rPr>
        <w:t>[Image] This graphic features two financial charts: the left compares the daily performance trends of the USD Index (DXY) and Silver from 2001 to 2026, while the right displays the historical Gold/Silver Ratio from 1970 to 2025. The right chart highlights key valuation milestones, marking major peaks near the 100 level and notable troughs corresponding to silver price peaks in 1980 and 2011.</w:t>
      </w:r>
    </w:p>
    <w:p>
      <w:r>
        <w:t>Source: StockCharts, Incrementum AG</w:t>
      </w:r>
    </w:p>
    <w:p>
      <w:r>
        <w:t>Our analysis of this week’s U.S. inflation report underscores this sentiment. For</w:t>
      </w:r>
    </w:p>
    <w:p>
      <w:r>
        <w:t>starters, inflation trends continue to move higher, even though most tariffs have not</w:t>
      </w:r>
    </w:p>
    <w:p>
      <w:r>
        <w:t>yet hit consumer shelves—due to either delayed implementation or pre-tariff</w:t>
      </w:r>
    </w:p>
    <w:p>
      <w:r>
        <w:t>inventory building—and many companies are absorbing the tariff hit initially, as they</w:t>
      </w:r>
    </w:p>
    <w:p>
      <w:r>
        <w:t>wait for more clarity on negotiations. (Note that GM and Ford suffered a nearly $2</w:t>
      </w:r>
    </w:p>
    <w:p>
      <w:r>
        <w:t>billion combined tariff hit, so the negative domestic economic impact is very real at</w:t>
      </w:r>
    </w:p>
    <w:p>
      <w:r>
        <w:t>either the corporate or consumer level.)</w:t>
      </w:r>
    </w:p>
    <w:p>
      <w:r>
        <w:t>Case in point: the headline CPI has advanced from 2.33% in April to 2.73% in July</w:t>
      </w:r>
    </w:p>
    <w:p>
      <w:r>
        <w:t>and the core CPI rose from 2.78% in April to 3.05% in July.  (See left-hand chart</w:t>
      </w:r>
    </w:p>
    <w:p>
      <w:r>
        <w:t>below.) As Harvard economics professor and former CEA chair, Jason Furman, recently</w:t>
      </w:r>
    </w:p>
    <w:p>
      <w:r>
        <w:t>wrote on Bluesky: “The overall dynamic is core services inflation has stayed high (and</w:t>
      </w:r>
    </w:p>
    <w:p>
      <w:r>
        <w:t>even rose in July) while core goods have gone from deflation to inflation.” (See right-</w:t>
      </w:r>
    </w:p>
    <w:p>
      <w:r>
        <w:t>hand chart below.)</w:t>
      </w:r>
    </w:p>
    <w:p>
      <w:r>
        <w:rPr>
          <w:i/>
        </w:rPr>
        <w:t>[Image] This image displays two side-by-side financial charts analyzing consumer price inflation trends leading up to July 2025, with red arrows highlighting a recent upward trajectory in both metrics. The left line chart shows the year-over-year percent change for overall and core CPI, while the right bar chart displays the annualized monthly percent change broken down into core goods and core services.</w:t>
      </w:r>
    </w:p>
    <w:p>
      <w:r>
        <w:t>Source: St. Louis Fed, Jason Furman</w:t>
      </w:r>
    </w:p>
    <w:p>
      <w:r>
        <w:t>Making matters worse, this morning’s wholesale inflation report showed that the</w:t>
      </w:r>
    </w:p>
    <w:p>
      <w:r>
        <w:t>headline July PPI rose 3.3% y/y, up from 2.4% in June—yet another indication that</w:t>
      </w:r>
    </w:p>
    <w:p>
      <w:r>
        <w:t>inflation pressures are making their way through the domestic supply chain.</w:t>
      </w:r>
    </w:p>
    <w:p>
      <w:r>
        <w:t>As we wrote in WILTW August 7, 2025, after the weak payroll report two weeks ago,</w:t>
      </w:r>
    </w:p>
    <w:p>
      <w:r>
        <w:t>the Fed now has a brief window to cut the Fed Funds rate next month, before the</w:t>
      </w:r>
    </w:p>
    <w:p>
      <w:r>
        <w:t>latest round of tariffs begins to hit product shelves in Q4. Financial markets appear</w:t>
      </w:r>
    </w:p>
    <w:p>
      <w:r>
        <w:t>to confirm this view, with the DXY breaking below the 98 level on Tuesday, in</w:t>
      </w:r>
    </w:p>
    <w:p>
      <w:r>
        <w:t>anticipation of lower short-term interest rates. However, it is hugely noteworthy that</w:t>
      </w:r>
    </w:p>
    <w:p>
      <w:r>
        <w:t>10-year bond yields, which bottomed-out at 4.18% shortly after the weak payroll</w:t>
      </w:r>
    </w:p>
    <w:p>
      <w:r>
        <w:t>report, have been fluctuating at higher levels between 4.2% and 4.3%.</w:t>
      </w:r>
    </w:p>
    <w:p>
      <w:r>
        <w:t>According to Bianco Research founder and CEO, Jim Bianco, during the last 40 years,</w:t>
      </w:r>
    </w:p>
    <w:p>
      <w:r>
        <w:t>there was only one time that the Fed cut rates when the core CPI was above 3% and</w:t>
      </w:r>
    </w:p>
    <w:p>
      <w:r>
        <w:t>the three-month change was above 0.3%, and that was during the recession that</w:t>
      </w:r>
    </w:p>
    <w:p>
      <w:r>
        <w:t>began in 4Q-1990. This was shortly after Iraq’s invasion of Kuwait caused oil prices to</w:t>
      </w:r>
    </w:p>
    <w:p>
      <w:r>
        <w:t>double and triggered rising uncertainty and corporate layoffs, all compounded by a</w:t>
      </w:r>
    </w:p>
    <w:p>
      <w:r>
        <w:t>commercial-real estate crunch. This begs the same question we asked last week: could</w:t>
      </w:r>
    </w:p>
    <w:p>
      <w:r>
        <w:t>the economy be in recession now? We will not know the answer until after the fact.</w:t>
      </w:r>
    </w:p>
    <w:p>
      <w:r>
        <w:t>Interestingly, during a Bloomberg interview yesterday, Treasury Secretary Scott</w:t>
      </w:r>
    </w:p>
    <w:p>
      <w:r>
        <w:t>Bessent went a few steps further when he said: “There’s a very good chance of a 50</w:t>
      </w:r>
    </w:p>
    <w:p>
      <w:r>
        <w:t>basis point rate cut. We could go into a series of rate cuts here, starting with a 50</w:t>
      </w:r>
    </w:p>
    <w:p>
      <w:r>
        <w:t>basis point rate cut in September.” He also said that, “if you look at any model” rates</w:t>
      </w:r>
    </w:p>
    <w:p>
      <w:r>
        <w:t>“should probably be 150, 175 basis points lower.”</w:t>
      </w:r>
    </w:p>
    <w:p>
      <w:r>
        <w:t>Bloomberg’s John Authers commented this morning, as follows: “With the current</w:t>
      </w:r>
    </w:p>
    <w:p>
      <w:r>
        <w:t>effective Fed Funds rate at 4.33%, he is suggesting that it should be about 2.6%. Over</w:t>
      </w:r>
    </w:p>
    <w:p>
      <w:r>
        <w:t>the last 70 years, the rate has never been that low with inflation as high as it</w:t>
      </w:r>
    </w:p>
    <w:p>
      <w:r>
        <w:t>currently (with the core reading above 3%).” It is worth adding that the Taylor Rule</w:t>
      </w:r>
    </w:p>
    <w:p>
      <w:r>
        <w:t>points to a Fed Funds target over 150 basis points above the current level.</w:t>
      </w:r>
    </w:p>
    <w:p>
      <w:r>
        <w:t>If the Fed cuts rates with inflation at current levels, one could reasonably argue that</w:t>
      </w:r>
    </w:p>
    <w:p>
      <w:r>
        <w:t>the 2% inflation target is finally dead. As we wrote in WILTW May 16, 2024, underlying</w:t>
      </w:r>
    </w:p>
    <w:p>
      <w:r>
        <w:t>trends “point to the coming end of the Fed’s arbitrary 2% inflation target.” In August</w:t>
      </w:r>
    </w:p>
    <w:p>
      <w:r>
        <w:t>1987, when Paul Volcker retired as Fed Chair, the PCE inflation rate was 3.4% y/y and</w:t>
      </w:r>
    </w:p>
    <w:p>
      <w:r>
        <w:t>the CPI rate was 4.3% y/y. (These levels were considered benign at the time, and the</w:t>
      </w:r>
    </w:p>
    <w:p>
      <w:r>
        <w:t>2% target only became a publicly-stated goal after the GFC.) We added then: “If we</w:t>
      </w:r>
    </w:p>
    <w:p>
      <w:r>
        <w:t>are entering an inflationary regime—which we think we are—then inflation rates</w:t>
      </w:r>
    </w:p>
    <w:p>
      <w:r>
        <w:t>closer to 3%-4% could eventually become the new benchmark.”</w:t>
      </w:r>
    </w:p>
    <w:p>
      <w:r>
        <w:t>Making matters worse is the receding inflow of capital to support dollar-denominated</w:t>
      </w:r>
    </w:p>
    <w:p>
      <w:r>
        <w:t>assets. As we wrote in WILTW April 24, 2025, “foreign accumulation of U.S. ‘portfolio</w:t>
      </w:r>
    </w:p>
    <w:p>
      <w:r>
        <w:t>assets,’ mainly stocks and bonds, has more than tripled over the past 15 years, from</w:t>
      </w:r>
    </w:p>
    <w:p>
      <w:r>
        <w:t>$10.5 trillion at year-end 2009 to $33.1 trillion at year-end 2024.” An estimated 20%</w:t>
      </w:r>
    </w:p>
    <w:p>
      <w:r>
        <w:t>of the U.S. equity market and 30% of the U.S. Treasury market are held by foreigners.</w:t>
      </w:r>
    </w:p>
    <w:p>
      <w:r>
        <w:t>It is never wise to count on the kindness of strangers. A July 18th Bloomberg article,</w:t>
      </w:r>
    </w:p>
    <w:p>
      <w:r>
        <w:t>headlined “BofA Says Share of U.S. Stocks in Global Flows has Plunged in 2025,”</w:t>
      </w:r>
    </w:p>
    <w:p>
      <w:r>
        <w:t>warned: “U.S. stock funds attracted just under half of total flows so far this year,</w:t>
      </w:r>
    </w:p>
    <w:p>
      <w:r>
        <w:t>compared with 72% in 2024, the BofA team said in a note, citing figures from EPFR</w:t>
      </w:r>
    </w:p>
    <w:p>
      <w:r>
        <w:t>Global. Foreign inflows slowed to less than $2 billion in the past three months from</w:t>
      </w:r>
    </w:p>
    <w:p>
      <w:r>
        <w:t>$34 billion in January. President Donald Trump’s erratic trade policy, a ballooning</w:t>
      </w:r>
    </w:p>
    <w:p>
      <w:r>
        <w:t>fiscal deficit and a slumping dollar have strained investor enthusiasm for American</w:t>
      </w:r>
    </w:p>
    <w:p>
      <w:r>
        <w:t>assets. While the S&amp;P 500 has recovered from an April low after Trump paused the</w:t>
      </w:r>
    </w:p>
    <w:p>
      <w:r>
        <w:t>harshest tariffs in a century, the benchmark still trails international peers this year.”</w:t>
      </w:r>
    </w:p>
    <w:p>
      <w:r>
        <w:t>In his new book entitled Our Dollar, Your Problem, Harvard economics professor and</w:t>
      </w:r>
    </w:p>
    <w:p>
      <w:r>
        <w:t>former IMF chief economist, Kenneth Rogoff, wrote the following: “American</w:t>
      </w:r>
    </w:p>
    <w:p>
      <w:r>
        <w:t>arrogance and exceptionalism have sometimes served U.S. interests, but they also</w:t>
      </w:r>
    </w:p>
    <w:p>
      <w:r>
        <w:t>helped trigger the Great Inflation of the 1970s and the 2008-2009 Global Financial</w:t>
      </w:r>
    </w:p>
    <w:p>
      <w:r>
        <w:t>Crisis. One can hope for a long period of strong growth and low inflation, but it would</w:t>
      </w:r>
    </w:p>
    <w:p>
      <w:r>
        <w:t>be folly to ignore the many “this time is different” Pax Dollar assumptions built into</w:t>
      </w:r>
    </w:p>
    <w:p>
      <w:r>
        <w:t>today’s markets that may well be upended over the next decade, if not much sooner.”</w:t>
      </w:r>
    </w:p>
    <w:p>
      <w:r>
        <w:t>(See WILTWs July 10, 2025 and June 14, 2012.)</w:t>
      </w:r>
    </w:p>
    <w:p>
      <w:r>
        <w:t>It is noteworthy that while the S&amp;P 500 is underperforming the MSCI World ex USA</w:t>
      </w:r>
    </w:p>
    <w:p>
      <w:r>
        <w:t>Index by more than 10 percentage points so far this year (+10% versus +21%), the two</w:t>
      </w:r>
    </w:p>
    <w:p>
      <w:r>
        <w:t>well-known U.S.-listed silver miner ETFs are outperforming the S&amp;P 500 by roughly</w:t>
      </w:r>
    </w:p>
    <w:p>
      <w:r>
        <w:t>seven times so far this year.</w:t>
      </w:r>
    </w:p>
    <w:p>
      <w:r>
        <w:t>The Global X Silver Miners ETF (SIL, $54.01) has gained 71% YTD and the Amplify</w:t>
      </w:r>
    </w:p>
    <w:p>
      <w:r>
        <w:t>Junior Silver Miners ETF (SILJ, $17.05) has gained 72% YTD, compared to a 10% gain</w:t>
      </w:r>
    </w:p>
    <w:p>
      <w:r>
        <w:t>for the S&amp;P 500.  Both SIL and SILJ are included in the 13D Silver Strategy Index, at a</w:t>
      </w:r>
    </w:p>
    <w:p>
      <w:r>
        <w:t>10% weighting for each.</w:t>
      </w:r>
    </w:p>
    <w:p>
      <w:r>
        <w:t>Both ETFs have broken out above their trendlines and are poised to head</w:t>
      </w:r>
    </w:p>
    <w:p>
      <w:r>
        <w:t>substantially higher if the DXY breaks down again, which we think is highly likely.</w:t>
      </w:r>
    </w:p>
    <w:p>
      <w:r>
        <w:t>(See charts below.) Despite its recent outperformance, SIL stands over 40% below its</w:t>
      </w:r>
    </w:p>
    <w:p>
      <w:r>
        <w:t>high when silver hit its peak of $50/ounce in 2011.</w:t>
      </w:r>
    </w:p>
    <w:p>
      <w:r>
        <w:rPr>
          <w:i/>
        </w:rPr>
        <w:t>[Image] This image displays two daily financial charts comparing the performance of the Silver Miners ETF (SIL) and the Junior Silver Miners ETF (SILJ) against the S&amp;P 500 (SPY) over several years. Both charts feature technical trendlines and moving averages that highlight a recent upward breakout from a long-term downward trend.</w:t>
      </w:r>
    </w:p>
    <w:p>
      <w:r>
        <w:t>Source: StockCharts</w:t>
      </w:r>
    </w:p>
    <w:p>
      <w:r>
        <w:t>In WILTW May 1, 2025, we wrote that investment demand for silver is the biggest</w:t>
      </w:r>
    </w:p>
    <w:p>
      <w:r>
        <w:t>short-term wild card. So far, this year’s investment demand is moving in a positive</w:t>
      </w:r>
    </w:p>
    <w:p>
      <w:r>
        <w:t>direction. The Silver Institute recently reported the following: “With net inflows of 95</w:t>
      </w:r>
    </w:p>
    <w:p>
      <w:r>
        <w:t>million ounces (Moz) in the first half of 2025, silver ETP (exchange-traded products)</w:t>
      </w:r>
    </w:p>
    <w:p>
      <w:r>
        <w:t>investment has already surpassed the total for all of last year. This surge reflects</w:t>
      </w:r>
    </w:p>
    <w:p>
      <w:r>
        <w:t>increasingly bullish price expectations. By June 30, global silver ETP holdings</w:t>
      </w:r>
    </w:p>
    <w:p>
      <w:r>
        <w:t>reached 1.13 billion ounces (Boz), just 7% below their highest level since the peak of</w:t>
      </w:r>
    </w:p>
    <w:p>
      <w:r>
        <w:t>1.21 Boz in February 2021.” The Silver Institute has also noted that, since 2019, more</w:t>
      </w:r>
    </w:p>
    <w:p>
      <w:r>
        <w:t>than 1.1 billion ounces (market balance plus ETPs) have been drawn from “available</w:t>
      </w:r>
    </w:p>
    <w:p>
      <w:r>
        <w:t>mobile inventory.”</w:t>
      </w:r>
    </w:p>
    <w:p>
      <w:r>
        <w:t>History has shown that silver appreciates twice as fast as gold during bull markets</w:t>
      </w:r>
    </w:p>
    <w:p>
      <w:r>
        <w:t>in precious metals. (See WILTW June 12, 2025.) But so far this cycle, gold has been</w:t>
      </w:r>
    </w:p>
    <w:p>
      <w:r>
        <w:t>outperforming significantly, as it has benefitted from huge central-bank purchases</w:t>
      </w:r>
    </w:p>
    <w:p>
      <w:r>
        <w:t>that did not exist earlier this century. (See chart below.)</w:t>
      </w:r>
    </w:p>
    <w:p>
      <w:r>
        <w:t>Nevertheless, silver has plenty of room to catch up due to its industrial exposure,</w:t>
      </w:r>
    </w:p>
    <w:p>
      <w:r>
        <w:t>which is driven by electronics and solar photovoltaic (PV) demand, as we pointed-out</w:t>
      </w:r>
    </w:p>
    <w:p>
      <w:r>
        <w:t>in our May 1st and June 12th reports. According to the Silver Institute, Solar PV-</w:t>
      </w:r>
    </w:p>
    <w:p>
      <w:r>
        <w:t>specific demand alone accounted for 17% of total silver demand in 2024, compared</w:t>
      </w:r>
    </w:p>
    <w:p>
      <w:r>
        <w:t>to 5.6% in 2015, with a CAGR of 14% during that span. Based on the current trajectory</w:t>
      </w:r>
    </w:p>
    <w:p>
      <w:r>
        <w:t>for solar PV adoption, by 2050, approximately 332 Moz of silver will be needed to</w:t>
      </w:r>
    </w:p>
    <w:p>
      <w:r>
        <w:t>support 1.33 terawatt/year of new PV installations, according to the silver trade</w:t>
      </w:r>
    </w:p>
    <w:p>
      <w:r>
        <w:t>group.</w:t>
      </w:r>
    </w:p>
    <w:p>
      <w:r>
        <w:rPr>
          <w:i/>
        </w:rPr>
        <w:t>[Image] This line graph compares the investment performance and compound annual returns of five asset classes—Gold, the S&amp;P 500, Silver, Bonds, and the U.S. Dollar—from December 1999 to mid-2024. It highlights that Gold was the top performer with a 10.03% annual return, followed by the S&amp;P 500 (7.79%) and Silver (7.75%), while Bonds and the U.S. Dollar lagged significantly behind.</w:t>
      </w:r>
    </w:p>
    <w:p>
      <w:r>
        <w:t>Source: Sprott Inc.</w:t>
      </w:r>
    </w:p>
    <w:p>
      <w:r>
        <w:t>We end with another relevant passage from Rogoff’s book: “If one learns anything</w:t>
      </w:r>
    </w:p>
    <w:p>
      <w:r>
        <w:t>else from examining the evolution of the global currency system over the past</w:t>
      </w:r>
    </w:p>
    <w:p>
      <w:r>
        <w:t>seven decades, it should be that surprising changes can and do happen. If runaway</w:t>
      </w:r>
    </w:p>
    <w:p>
      <w:r>
        <w:t>U.S. debt policy continues to crash up against higher real interest rates and</w:t>
      </w:r>
    </w:p>
    <w:p>
      <w:r>
        <w:t>geopolitical instability, and if political pressures constrain the Federal Reserve’s ability</w:t>
      </w:r>
    </w:p>
    <w:p>
      <w:r>
        <w:t>to consistently tame inflation, it will be everyone’s problem.”</w:t>
        <w:br/>
        <w:t>Exit Condition: 4156796173 (1768261029) 6949d42e5173f6.64439376</w:t>
      </w:r>
    </w:p>
    <w:p>
      <w:r>
        <w:t>Share</w:t>
      </w:r>
    </w:p>
    <w:p>
      <w:r>
        <w:t>What I Learned This Week</w:t>
      </w:r>
    </w:p>
    <w:p>
      <w:r>
        <w:t>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