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rPr>
          <w:trHeight w:val="15820" w:hRule="atLeast"/>
        </w:trPr>
        <w:tc>
          <w:tcPr>
            <w:tcW w:type="dxa" w:w="12240"/>
            <w:shd w:fill="13192B" w:color="auto" w:val="clear"/>
            <w:tcMar>
              <w:top w:type="dxa" w:w="300"/>
              <w:left w:type="dxa" w:w="500"/>
              <w:bottom w:type="dxa" w:w="300"/>
              <w:right w:type="dxa" w:w="50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2026</w:t>
            </w:r>
          </w:p>
          <w:p>
            <w:pPr>
              <w:pBdr>
                <w:bottom w:val="none" w:color="13192B" w:sz="1" w:space="1"/>
              </w:pBdr>
              <w:spacing w:after="0"/>
            </w:pPr>
          </w:p>
          <w:p>
            <w:pPr>
              <w:spacing w:after="200" w:before="5200"/>
            </w:pPr>
            <w:r>
              <w:rPr>
                <w:b/>
                <w:bCs/>
                <w:color w:val="FFFFFF"/>
                <w:sz w:val="52"/>
                <w:szCs w:val="52"/>
              </w:rPr>
              <w:t xml:space="preserve">Pizza Sales Performance Analysis</w:t>
            </w:r>
          </w:p>
          <w:p>
            <w:pPr>
              <w:spacing w:after="200"/>
            </w:pPr>
            <w:r>
              <w:rPr>
                <w:b/>
                <w:bCs/>
                <w:color w:val="FFFFFF"/>
                <w:sz w:val="52"/>
                <w:szCs w:val="52"/>
              </w:rPr>
              <w:t xml:space="preserve">Dashboard Documentation (2015 Data)</w:t>
            </w:r>
          </w:p>
          <w:p>
            <w:pPr>
              <w:spacing w:after="40" w:before="3600"/>
            </w:pPr>
            <w:r>
              <w:rPr>
                <w:b/>
                <w:bCs/>
                <w:color w:val="9FD8DC"/>
                <w:sz w:val="20"/>
                <w:szCs w:val="20"/>
              </w:rPr>
              <w:t xml:space="preserve">PROJECT DOCUMENTATION</w:t>
            </w:r>
          </w:p>
          <w:p>
            <w:pPr>
              <w:spacing w:after="300"/>
            </w:pPr>
            <w:r>
              <w:rPr>
                <w:b/>
                <w:bCs/>
                <w:color w:val="FF5FA2"/>
                <w:sz w:val="22"/>
                <w:szCs w:val="22"/>
              </w:rPr>
              <w:t xml:space="preserve">THAO VY DANG</w:t>
            </w:r>
          </w:p>
          <w:p>
            <w:r>
              <w:rPr>
                <w:color w:val="8FA0BE"/>
                <w:sz w:val="16"/>
                <w:szCs w:val="16"/>
              </w:rPr>
              <w:t xml:space="preserve">PIZZA SALES ANALYTICS |</w:t>
            </w:r>
          </w:p>
        </w:tc>
      </w:tr>
    </w:tbl>
    <w:p>
      <w:pPr>
        <w:sectPr>
          <w:pgSz w:w="12240" w:h="1584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260"/>
      </w:pPr>
      <w:r>
        <w:rPr>
          <w:b/>
          <w:bCs/>
          <w:color w:val="1F2A44"/>
          <w:sz w:val="34"/>
          <w:szCs w:val="34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F2A44" w:sz="8" w:space="4"/>
        </w:pBdr>
        <w:spacing w:after="160" w:before="360"/>
      </w:pPr>
      <w:r>
        <w:rPr>
          <w:b/>
          <w:bCs/>
          <w:color w:val="1F2A44"/>
          <w:sz w:val="30"/>
          <w:szCs w:val="30"/>
        </w:rPr>
        <w:t xml:space="preserve">1. Project Objective and Business Problems</w:t>
      </w:r>
    </w:p>
    <w:p>
      <w:pPr>
        <w:pStyle w:val="Heading2"/>
        <w:spacing w:after="120" w:before="260"/>
      </w:pPr>
      <w:r>
        <w:rPr>
          <w:b/>
          <w:bCs/>
          <w:color w:val="1F6F78"/>
          <w:sz w:val="25"/>
          <w:szCs w:val="25"/>
        </w:rPr>
        <w:t xml:space="preserve">Objective</w:t>
      </w:r>
    </w:p>
    <w:p>
      <w:pPr>
        <w:spacing w:after="140" w:line="276"/>
      </w:pPr>
      <w:r>
        <w:rPr>
          <w:color w:val="444444"/>
          <w:sz w:val="21"/>
          <w:szCs w:val="21"/>
        </w:rPr>
        <w:t xml:space="preserve">This documentation covers a Power BI dashboard (analysing_dashboard.pbix) built to analyse a full year of pizza-restaurant sales data (2015). It examines order-level transactions to surface revenue drivers, demand patterns, product performance, and ingredient economics, and pairs the dashboard's data model with the written findings captured in the accompanying analysis report.</w:t>
      </w:r>
    </w:p>
    <w:p>
      <w:pPr>
        <w:pStyle w:val="Heading2"/>
        <w:spacing w:after="120" w:before="260"/>
      </w:pPr>
      <w:r>
        <w:rPr>
          <w:b/>
          <w:bCs/>
          <w:color w:val="1F6F78"/>
          <w:sz w:val="25"/>
          <w:szCs w:val="25"/>
        </w:rPr>
        <w:t xml:space="preserve">Business Problems</w:t>
      </w:r>
    </w:p>
    <w:p>
      <w:pPr>
        <w:spacing w:after="140" w:line="276"/>
      </w:pPr>
      <w:r>
        <w:rPr>
          <w:color w:val="444444"/>
          <w:sz w:val="21"/>
          <w:szCs w:val="21"/>
        </w:rPr>
        <w:t xml:space="preserve">The dashboard was built to answer: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444444"/>
          <w:sz w:val="21"/>
          <w:szCs w:val="21"/>
        </w:rPr>
        <w:t xml:space="preserve">Which products and categories generate the most revenue and volume?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444444"/>
          <w:sz w:val="21"/>
          <w:szCs w:val="21"/>
        </w:rPr>
        <w:t xml:space="preserve">How does demand fluctuate by hour, day of week, and month?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444444"/>
          <w:sz w:val="21"/>
          <w:szCs w:val="21"/>
        </w:rPr>
        <w:t xml:space="preserve">How do pizza size and ingredient choices relate to sales performance?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444444"/>
          <w:sz w:val="21"/>
          <w:szCs w:val="21"/>
        </w:rPr>
        <w:t xml:space="preserve">Which ingredients and menu items are the strongest and weakest contributors, and by how much?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444444"/>
          <w:sz w:val="21"/>
          <w:szCs w:val="21"/>
        </w:rPr>
        <w:t xml:space="preserve">How does average pizza price relate to total volume across categories?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444444"/>
          <w:sz w:val="21"/>
          <w:szCs w:val="21"/>
        </w:rPr>
        <w:t xml:space="preserve">How often do customers order more than one pizza, and how quickly do new orders arrive?</w:t>
      </w:r>
    </w:p>
    <w:p>
      <w:pPr>
        <w:spacing w:after="140" w:line="276"/>
      </w:pPr>
      <w:r>
        <w:rPr>
          <w:color w:val="444444"/>
          <w:sz w:val="21"/>
          <w:szCs w:val="21"/>
        </w:rPr>
        <w:t xml:space="preserve">These answers support operational decisions such as staffing rosters, menu engineering, pricing tiers, and seasonal promotions.</w:t>
      </w:r>
    </w:p>
    <w:p>
      <w:r>
        <w:br w:type="page"/>
      </w:r>
    </w:p>
    <w:p>
      <w:pPr>
        <w:pStyle w:val="Heading1"/>
        <w:pBdr>
          <w:bottom w:val="single" w:color="1F2A44" w:sz="8" w:space="4"/>
        </w:pBdr>
        <w:spacing w:after="160" w:before="360"/>
      </w:pPr>
      <w:r>
        <w:rPr>
          <w:b/>
          <w:bCs/>
          <w:color w:val="1F2A44"/>
          <w:sz w:val="30"/>
          <w:szCs w:val="30"/>
        </w:rPr>
        <w:t xml:space="preserve">2. Data Sources and Transformation</w:t>
      </w:r>
    </w:p>
    <w:p>
      <w:pPr>
        <w:pStyle w:val="Heading2"/>
        <w:spacing w:after="120" w:before="260"/>
      </w:pPr>
      <w:r>
        <w:rPr>
          <w:b/>
          <w:bCs/>
          <w:color w:val="1F6F78"/>
          <w:sz w:val="25"/>
          <w:szCs w:val="25"/>
        </w:rPr>
        <w:t xml:space="preserve">Data Source</w:t>
      </w:r>
    </w:p>
    <w:p>
      <w:pPr>
        <w:spacing w:after="140" w:line="276"/>
      </w:pPr>
      <w:r>
        <w:rPr>
          <w:color w:val="444444"/>
          <w:sz w:val="21"/>
          <w:szCs w:val="21"/>
        </w:rPr>
        <w:t xml:space="preserve">The model is built from a single flat file, data_pizza.csv, loaded through Power Query with Csv.Document. Each row is one order line with the columns: order_id, date, time, pizza_id, quantity, size, price, name, category, and ingredients (a comma-separated ingredient list per pizza).</w:t>
      </w:r>
    </w:p>
    <w:p>
      <w:pPr>
        <w:pStyle w:val="Heading2"/>
        <w:spacing w:after="120" w:before="260"/>
      </w:pPr>
      <w:r>
        <w:rPr>
          <w:b/>
          <w:bCs/>
          <w:color w:val="1F6F78"/>
          <w:sz w:val="25"/>
          <w:szCs w:val="25"/>
        </w:rPr>
        <w:t xml:space="preserve">Key Transformations</w:t>
      </w:r>
    </w:p>
    <w:p>
      <w:pPr>
        <w:spacing w:after="140" w:line="276"/>
      </w:pPr>
      <w:r>
        <w:rPr>
          <w:color w:val="444444"/>
          <w:sz w:val="21"/>
          <w:szCs w:val="21"/>
        </w:rPr>
        <w:t xml:space="preserve">Unlike a dashboard built directly on separate orders / order-details / pizza / pizza-type tables, this model derives every dimension from the one source file inside Power Query, then relates them back together in the data model: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444444"/>
          <w:sz w:val="21"/>
          <w:szCs w:val="21"/>
        </w:rPr>
        <w:t xml:space="preserve">Promoted headers and set explicit data types (order_id as whole number, date as date, time as time, price as decimal, etc.).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444444"/>
          <w:sz w:val="21"/>
          <w:szCs w:val="21"/>
        </w:rPr>
        <w:t xml:space="preserve">Added a custom "Size Order" column (S = 1, M = 2, L = 3, XL = 4, XXL = 5) so size labels sort logically instead of alphabetically.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444444"/>
          <w:sz w:val="21"/>
          <w:szCs w:val="21"/>
        </w:rPr>
        <w:t xml:space="preserve">Built a full-year "Dim Date" calendar (1 Jan – 31 Dec 2015) from a generated list of dates, then added Month, three-letter Month Name, Start of Week, three-letter Day Name, Day of Week, Week of Year and Day of Year columns; "is Weekend" is a DAX calculated column (SWITCH on WEEKDAY).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444444"/>
          <w:sz w:val="21"/>
          <w:szCs w:val="21"/>
        </w:rPr>
        <w:t xml:space="preserve">Built a "Dim_Time" table (Hour, Minute, Second, Time) to support hour-level analysis independently of the calendar.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444444"/>
          <w:sz w:val="21"/>
          <w:szCs w:val="21"/>
        </w:rPr>
        <w:t xml:space="preserve">Derived the "Pizza" dimension (pizza_id, name, category) by removing the transaction columns from data_pizza and de-duplicating on pizza_id.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444444"/>
          <w:sz w:val="21"/>
          <w:szCs w:val="21"/>
        </w:rPr>
        <w:t xml:space="preserve">Derived the "Pizza Ingredients" bridge table by splitting the ingredients text on commas (Splitter.SplitTextByDelimiter) and expanding it into one row per pizza/ingredient pair, then trimming whitespace.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444444"/>
          <w:sz w:val="21"/>
          <w:szCs w:val="21"/>
        </w:rPr>
        <w:t xml:space="preserve">Derived the "Ingredients" dimension as the distinct list of individual ingredients across all pizzas.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444444"/>
          <w:sz w:val="21"/>
          <w:szCs w:val="21"/>
        </w:rPr>
        <w:t xml:space="preserve">Built an "Order Date Time" table with two calculated columns — Next Order Time (LOOKUPVALUE against order_id + 1) and Minutes Differences (DATEDIFF, blank when the next order falls on a different day) — purpose-built to measure the gap between consecutive orders.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444444"/>
          <w:sz w:val="21"/>
          <w:szCs w:val="21"/>
        </w:rPr>
        <w:t xml:space="preserve">Added disconnected parameter tables (Parameter, Parameter 2, "quantity/revenue", "quantity/revenue options", "top/bottom options") so single visuals can be toggled by the viewer between Quantity and Revenue, and between Top 5 and Bottom 5 rankings, without duplicating charts.</w:t>
      </w:r>
    </w:p>
    <w:p>
      <w:r>
        <w:br w:type="page"/>
      </w:r>
    </w:p>
    <w:p>
      <w:pPr>
        <w:pStyle w:val="Heading1"/>
        <w:pBdr>
          <w:bottom w:val="single" w:color="1F2A44" w:sz="8" w:space="4"/>
        </w:pBdr>
        <w:spacing w:after="160" w:before="360"/>
      </w:pPr>
      <w:r>
        <w:rPr>
          <w:b/>
          <w:bCs/>
          <w:color w:val="1F2A44"/>
          <w:sz w:val="30"/>
          <w:szCs w:val="30"/>
        </w:rPr>
        <w:t xml:space="preserve">3. Data Model and DAX</w:t>
      </w:r>
    </w:p>
    <w:p>
      <w:pPr>
        <w:pStyle w:val="Heading2"/>
        <w:spacing w:after="120" w:before="260"/>
      </w:pPr>
      <w:r>
        <w:rPr>
          <w:b/>
          <w:bCs/>
          <w:color w:val="1F6F78"/>
          <w:sz w:val="25"/>
          <w:szCs w:val="25"/>
        </w:rPr>
        <w:t xml:space="preserve">Schema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444444"/>
          <w:sz w:val="21"/>
          <w:szCs w:val="21"/>
        </w:rPr>
        <w:t xml:space="preserve">Fact table: data_pizza — one row per order line (order, date, time, pizza, quantity, size, price).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444444"/>
          <w:sz w:val="21"/>
          <w:szCs w:val="21"/>
        </w:rPr>
        <w:t xml:space="preserve">Dimensions: Dim Date, Dim_Time, Pizza, Pizza Ingredients (bridge), Ingredients, Order Date Time.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444444"/>
          <w:sz w:val="21"/>
          <w:szCs w:val="21"/>
        </w:rPr>
        <w:t xml:space="preserve">Disconnected control tables: Parameter, Parameter 2, quantity/revenue, quantity/revenue options, top/bottom options.</w:t>
      </w:r>
    </w:p>
    <w:p>
      <w:pPr>
        <w:pStyle w:val="Heading2"/>
        <w:spacing w:after="120" w:before="260"/>
      </w:pPr>
      <w:r>
        <w:rPr>
          <w:b/>
          <w:bCs/>
          <w:color w:val="1F6F78"/>
          <w:sz w:val="25"/>
          <w:szCs w:val="25"/>
        </w:rPr>
        <w:t xml:space="preserve">Relationships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1600"/>
        <w:gridCol w:w="1600"/>
      </w:tblGrid>
      <w:tr>
        <w:trPr>
          <w:cantSplit/>
          <w:tblHeader/>
        </w:trPr>
        <w:tc>
          <w:tcPr>
            <w:tcW w:type="dxa" w:w="33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From</w:t>
            </w:r>
          </w:p>
        </w:tc>
        <w:tc>
          <w:tcPr>
            <w:tcW w:type="dxa" w:w="33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</w:t>
            </w:r>
          </w:p>
        </w:tc>
        <w:tc>
          <w:tcPr>
            <w:tcW w:type="dxa" w:w="16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Cardinality</w:t>
            </w:r>
          </w:p>
        </w:tc>
        <w:tc>
          <w:tcPr>
            <w:tcW w:type="dxa" w:w="16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Cross-filter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data_pizza[date]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Dim Date[Date]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Many-to-one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Single</w:t>
            </w:r>
          </w:p>
        </w:tc>
      </w:tr>
      <w:tr>
        <w:trPr>
          <w:cantSplit/>
        </w:trPr>
        <w:tc>
          <w:tcPr>
            <w:tcW w:type="dxa" w:w="3300"/>
            <w:shd w:fill="EEF2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data_pizza[pizza_id]</w:t>
            </w:r>
          </w:p>
        </w:tc>
        <w:tc>
          <w:tcPr>
            <w:tcW w:type="dxa" w:w="3300"/>
            <w:shd w:fill="EEF2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Pizza[pizza_id]</w:t>
            </w:r>
          </w:p>
        </w:tc>
        <w:tc>
          <w:tcPr>
            <w:tcW w:type="dxa" w:w="1600"/>
            <w:shd w:fill="EEF2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Many-to-one</w:t>
            </w:r>
          </w:p>
        </w:tc>
        <w:tc>
          <w:tcPr>
            <w:tcW w:type="dxa" w:w="1600"/>
            <w:shd w:fill="EEF2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Single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Pizza Ingredients[ingredients]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Ingredients[ingredients]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Many-to-one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Single</w:t>
            </w:r>
          </w:p>
        </w:tc>
      </w:tr>
      <w:tr>
        <w:trPr>
          <w:cantSplit/>
        </w:trPr>
        <w:tc>
          <w:tcPr>
            <w:tcW w:type="dxa" w:w="3300"/>
            <w:shd w:fill="EEF2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Pizza Ingredients[pizza_id]</w:t>
            </w:r>
          </w:p>
        </w:tc>
        <w:tc>
          <w:tcPr>
            <w:tcW w:type="dxa" w:w="3300"/>
            <w:shd w:fill="EEF2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Pizza[pizza_id]</w:t>
            </w:r>
          </w:p>
        </w:tc>
        <w:tc>
          <w:tcPr>
            <w:tcW w:type="dxa" w:w="1600"/>
            <w:shd w:fill="EEF2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Many-to-one</w:t>
            </w:r>
          </w:p>
        </w:tc>
        <w:tc>
          <w:tcPr>
            <w:tcW w:type="dxa" w:w="1600"/>
            <w:shd w:fill="EEF2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Both</w:t>
            </w:r>
          </w:p>
        </w:tc>
      </w:tr>
    </w:tbl>
    <w:p>
      <w:pPr>
        <w:spacing w:after="160"/>
      </w:pPr>
    </w:p>
    <w:p>
      <w:pPr>
        <w:spacing w:after="140" w:line="276"/>
      </w:pPr>
      <w:r>
        <w:rPr>
          <w:color w:val="444444"/>
          <w:sz w:val="21"/>
          <w:szCs w:val="21"/>
        </w:rPr>
        <w:t xml:space="preserve">The Pizza Ingredients → Pizza relationship is set to bidirectional filtering so that filtering by an ingredient (e.g. on the Ingredient Analysis page) correctly restricts the Pizza and data_pizza tables as well.</w:t>
      </w:r>
    </w:p>
    <w:p>
      <w:pPr>
        <w:pStyle w:val="Heading2"/>
        <w:spacing w:after="120" w:before="260"/>
      </w:pPr>
      <w:r>
        <w:rPr>
          <w:b/>
          <w:bCs/>
          <w:color w:val="1F6F78"/>
          <w:sz w:val="25"/>
          <w:szCs w:val="25"/>
        </w:rPr>
        <w:t xml:space="preserve">Key DAX Measures</w:t>
      </w:r>
    </w:p>
    <w:p>
      <w:pPr>
        <w:spacing w:after="140" w:line="276"/>
      </w:pPr>
      <w:r>
        <w:rPr>
          <w:color w:val="444444"/>
          <w:sz w:val="21"/>
          <w:szCs w:val="21"/>
        </w:rPr>
        <w:t xml:space="preserve">A representative set of the measures created for this model: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rPr>
          <w:cantSplit/>
          <w:tblHeader/>
        </w:trPr>
        <w:tc>
          <w:tcPr>
            <w:tcW w:type="dxa" w:w="30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Measure</w:t>
            </w:r>
          </w:p>
        </w:tc>
        <w:tc>
          <w:tcPr>
            <w:tcW w:type="dxa" w:w="635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Logic / purpose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Total Revenue</w:t>
            </w:r>
          </w:p>
        </w:tc>
        <w:tc>
          <w:tcPr>
            <w:tcW w:type="dxa" w:w="63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SUMX('data_pizza', data_pizza[price] * data_pizza[quantity])</w:t>
            </w:r>
          </w:p>
        </w:tc>
      </w:tr>
      <w:tr>
        <w:trPr>
          <w:cantSplit/>
        </w:trPr>
        <w:tc>
          <w:tcPr>
            <w:tcW w:type="dxa" w:w="3000"/>
            <w:shd w:fill="EEF2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Total Quantity Sold</w:t>
            </w:r>
          </w:p>
        </w:tc>
        <w:tc>
          <w:tcPr>
            <w:tcW w:type="dxa" w:w="6350"/>
            <w:shd w:fill="EEF2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SUM(data_pizza[quantity])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Total Orders</w:t>
            </w:r>
          </w:p>
        </w:tc>
        <w:tc>
          <w:tcPr>
            <w:tcW w:type="dxa" w:w="63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DISTINCTCOUNT(data_pizza[order_id])</w:t>
            </w:r>
          </w:p>
        </w:tc>
      </w:tr>
      <w:tr>
        <w:trPr>
          <w:cantSplit/>
        </w:trPr>
        <w:tc>
          <w:tcPr>
            <w:tcW w:type="dxa" w:w="3000"/>
            <w:shd w:fill="EEF2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Avg Order Value</w:t>
            </w:r>
          </w:p>
        </w:tc>
        <w:tc>
          <w:tcPr>
            <w:tcW w:type="dxa" w:w="6350"/>
            <w:shd w:fill="EEF2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DIVIDE([Total Revenue],[Total Orders])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Avg Pizza per Order</w:t>
            </w:r>
          </w:p>
        </w:tc>
        <w:tc>
          <w:tcPr>
            <w:tcW w:type="dxa" w:w="63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DIVIDE([Total Quantity Sold],[Total Orders])</w:t>
            </w:r>
          </w:p>
        </w:tc>
      </w:tr>
      <w:tr>
        <w:trPr>
          <w:cantSplit/>
        </w:trPr>
        <w:tc>
          <w:tcPr>
            <w:tcW w:type="dxa" w:w="3000"/>
            <w:shd w:fill="EEF2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Avg Pizza Price</w:t>
            </w:r>
          </w:p>
        </w:tc>
        <w:tc>
          <w:tcPr>
            <w:tcW w:type="dxa" w:w="6350"/>
            <w:shd w:fill="EEF2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DIVIDE([Total Revenue],[Total Quantity Sold])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Total Items per Order</w:t>
            </w:r>
          </w:p>
        </w:tc>
        <w:tc>
          <w:tcPr>
            <w:tcW w:type="dxa" w:w="63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CALCULATE([Total Quantity Sold], ALLEXCEPT(data_pizza, data_pizza[order_id]))</w:t>
            </w:r>
          </w:p>
        </w:tc>
      </w:tr>
      <w:tr>
        <w:trPr>
          <w:cantSplit/>
        </w:trPr>
        <w:tc>
          <w:tcPr>
            <w:tcW w:type="dxa" w:w="3000"/>
            <w:shd w:fill="EEF2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Quantity/Revenue</w:t>
            </w:r>
          </w:p>
        </w:tc>
        <w:tc>
          <w:tcPr>
            <w:tcW w:type="dxa" w:w="6350"/>
            <w:shd w:fill="EEF2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SWITCH on the "quantity/revenue options" parameter to let one visual show either measure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Pizza Rank</w:t>
            </w:r>
          </w:p>
        </w:tc>
        <w:tc>
          <w:tcPr>
            <w:tcW w:type="dxa" w:w="63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RANKX over all pizzas by Quantity/Revenue, direction driven by the Top 5 / Bottom 5 slicer</w:t>
            </w:r>
          </w:p>
        </w:tc>
      </w:tr>
      <w:tr>
        <w:trPr>
          <w:cantSplit/>
        </w:trPr>
        <w:tc>
          <w:tcPr>
            <w:tcW w:type="dxa" w:w="3000"/>
            <w:shd w:fill="EEF2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Ingredient Rank</w:t>
            </w:r>
          </w:p>
        </w:tc>
        <w:tc>
          <w:tcPr>
            <w:tcW w:type="dxa" w:w="6350"/>
            <w:shd w:fill="EEF2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RANKX of ingredients within the currently selected pizza category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Ingredient Quantity</w:t>
            </w:r>
          </w:p>
        </w:tc>
        <w:tc>
          <w:tcPr>
            <w:tcW w:type="dxa" w:w="63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SUMX('Pizza Ingredients', CALCULATE([Total Quantity Sold]))</w:t>
            </w:r>
          </w:p>
        </w:tc>
      </w:tr>
      <w:tr>
        <w:trPr>
          <w:cantSplit/>
        </w:trPr>
        <w:tc>
          <w:tcPr>
            <w:tcW w:type="dxa" w:w="3000"/>
            <w:shd w:fill="EEF2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Avg Ingredient Revenue / Quantity</w:t>
            </w:r>
          </w:p>
        </w:tc>
        <w:tc>
          <w:tcPr>
            <w:tcW w:type="dxa" w:w="6350"/>
            <w:shd w:fill="EEF2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AVERAGEX(ALL(Ingredients[ingredients]), …) — the two reference-line averages used to build the ingredient quadrant chart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Previous Order Time / Avg Time Interval Between Orders</w:t>
            </w:r>
          </w:p>
        </w:tc>
        <w:tc>
          <w:tcPr>
            <w:tcW w:type="dxa" w:w="63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Looks up each order's timestamp against the prior order and averages the gap in minutes</w:t>
            </w:r>
          </w:p>
        </w:tc>
      </w:tr>
      <w:tr>
        <w:trPr>
          <w:cantSplit/>
        </w:trPr>
        <w:tc>
          <w:tcPr>
            <w:tcW w:type="dxa" w:w="3000"/>
            <w:shd w:fill="EEF2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Correlation measures (2)</w:t>
            </w:r>
          </w:p>
        </w:tc>
        <w:tc>
          <w:tcPr>
            <w:tcW w:type="dxa" w:w="6350"/>
            <w:shd w:fill="EEF2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Pearson correlation coefficient, computed manually in DAX, for (a) category price vs. quantity and (b) ingredient quantity vs. revenue</w:t>
            </w:r>
          </w:p>
        </w:tc>
      </w:tr>
    </w:tbl>
    <w:p>
      <w:pPr>
        <w:spacing w:after="160"/>
      </w:pPr>
    </w:p>
    <w:p>
      <w:pPr>
        <w:pStyle w:val="Heading3"/>
        <w:spacing w:after="90" w:before="180"/>
      </w:pPr>
      <w:r>
        <w:rPr>
          <w:b/>
          <w:bCs/>
          <w:i/>
          <w:iCs/>
          <w:color w:val="13192B"/>
          <w:sz w:val="22"/>
          <w:szCs w:val="22"/>
        </w:rPr>
        <w:t xml:space="preserve">Notable calculated columns</w:t>
      </w:r>
    </w:p>
    <w:p>
      <w:pPr>
        <w:spacing w:after="140" w:line="276"/>
      </w:pPr>
      <w:r>
        <w:rPr>
          <w:color w:val="444444"/>
          <w:sz w:val="21"/>
          <w:szCs w:val="21"/>
        </w:rPr>
        <w:t xml:space="preserve">Two calculated columns do meaningful classification work rather than simple lookups: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color="auto" w:val="clear"/>
        <w:spacing w:after="160" w:line="264"/>
      </w:pPr>
      <w:r>
        <w:rPr>
          <w:rFonts w:ascii="Consolas" w:cs="Consolas" w:eastAsia="Consolas" w:hAnsi="Consolas"/>
          <w:color w:val="23324B"/>
          <w:sz w:val="18"/>
          <w:szCs w:val="18"/>
        </w:rPr>
        <w:t xml:space="preserve">Order Quantity Status (on data_pizza)</w:t>
      </w:r>
      <w:r>
        <w:rPr>
          <w:rFonts w:ascii="Consolas" w:cs="Consolas" w:eastAsia="Consolas" w:hAnsi="Consolas"/>
          <w:color w:val="23324B"/>
          <w:sz w:val="18"/>
          <w:szCs w:val="18"/>
        </w:rPr>
        <w:br/>
        <w:t xml:space="preserve">VAR TotalQty =</w:t>
      </w:r>
      <w:r>
        <w:rPr>
          <w:rFonts w:ascii="Consolas" w:cs="Consolas" w:eastAsia="Consolas" w:hAnsi="Consolas"/>
          <w:color w:val="23324B"/>
          <w:sz w:val="18"/>
          <w:szCs w:val="18"/>
        </w:rPr>
        <w:br/>
        <w:t xml:space="preserve">    CALCULATE(</w:t>
      </w:r>
      <w:r>
        <w:rPr>
          <w:rFonts w:ascii="Consolas" w:cs="Consolas" w:eastAsia="Consolas" w:hAnsi="Consolas"/>
          <w:color w:val="23324B"/>
          <w:sz w:val="18"/>
          <w:szCs w:val="18"/>
        </w:rPr>
        <w:br/>
        <w:t xml:space="preserve">        DISTINCTCOUNT(data_pizza[pizza_id]),</w:t>
      </w:r>
      <w:r>
        <w:rPr>
          <w:rFonts w:ascii="Consolas" w:cs="Consolas" w:eastAsia="Consolas" w:hAnsi="Consolas"/>
          <w:color w:val="23324B"/>
          <w:sz w:val="18"/>
          <w:szCs w:val="18"/>
        </w:rPr>
        <w:br/>
        <w:t xml:space="preserve">        ALLEXCEPT(data_pizza, data_pizza[order_id])</w:t>
      </w:r>
      <w:r>
        <w:rPr>
          <w:rFonts w:ascii="Consolas" w:cs="Consolas" w:eastAsia="Consolas" w:hAnsi="Consolas"/>
          <w:color w:val="23324B"/>
          <w:sz w:val="18"/>
          <w:szCs w:val="18"/>
        </w:rPr>
        <w:br/>
        <w:t xml:space="preserve">    )</w:t>
      </w:r>
      <w:r>
        <w:rPr>
          <w:rFonts w:ascii="Consolas" w:cs="Consolas" w:eastAsia="Consolas" w:hAnsi="Consolas"/>
          <w:color w:val="23324B"/>
          <w:sz w:val="18"/>
          <w:szCs w:val="18"/>
        </w:rPr>
        <w:br/>
        <w:t xml:space="preserve">RETURN</w:t>
      </w:r>
      <w:r>
        <w:rPr>
          <w:rFonts w:ascii="Consolas" w:cs="Consolas" w:eastAsia="Consolas" w:hAnsi="Consolas"/>
          <w:color w:val="23324B"/>
          <w:sz w:val="18"/>
          <w:szCs w:val="18"/>
        </w:rPr>
        <w:br/>
        <w:t xml:space="preserve">SWITCH(TRUE(),</w:t>
      </w:r>
      <w:r>
        <w:rPr>
          <w:rFonts w:ascii="Consolas" w:cs="Consolas" w:eastAsia="Consolas" w:hAnsi="Consolas"/>
          <w:color w:val="23324B"/>
          <w:sz w:val="18"/>
          <w:szCs w:val="18"/>
        </w:rPr>
        <w:br/>
        <w:t xml:space="preserve">    TotalQty = 1, "Single-item",</w:t>
      </w:r>
      <w:r>
        <w:rPr>
          <w:rFonts w:ascii="Consolas" w:cs="Consolas" w:eastAsia="Consolas" w:hAnsi="Consolas"/>
          <w:color w:val="23324B"/>
          <w:sz w:val="18"/>
          <w:szCs w:val="18"/>
        </w:rPr>
        <w:br/>
        <w:t xml:space="preserve">    TotalQty &gt; 1, "Multi-item",</w:t>
      </w:r>
      <w:r>
        <w:rPr>
          <w:rFonts w:ascii="Consolas" w:cs="Consolas" w:eastAsia="Consolas" w:hAnsi="Consolas"/>
          <w:color w:val="23324B"/>
          <w:sz w:val="18"/>
          <w:szCs w:val="18"/>
        </w:rPr>
        <w:br/>
        <w:t xml:space="preserve">    "Unknown")</w:t>
      </w:r>
    </w:p>
    <w:p>
      <w:pPr>
        <w:spacing w:after="140" w:line="276"/>
      </w:pPr>
      <w:r>
        <w:rPr>
          <w:color w:val="444444"/>
          <w:sz w:val="21"/>
          <w:szCs w:val="21"/>
        </w:rPr>
        <w:t xml:space="preserve">This labels every order line as Single-item or Multi-item based on how many distinct pizzas appear in that order, and drives the order-mix pie chart.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color="auto" w:val="clear"/>
        <w:spacing w:after="160" w:line="264"/>
      </w:pPr>
      <w:r>
        <w:rPr>
          <w:rFonts w:ascii="Consolas" w:cs="Consolas" w:eastAsia="Consolas" w:hAnsi="Consolas"/>
          <w:color w:val="23324B"/>
          <w:sz w:val="18"/>
          <w:szCs w:val="18"/>
        </w:rPr>
        <w:t xml:space="preserve">Minutes Differences (on Order Date Time)</w:t>
      </w:r>
      <w:r>
        <w:rPr>
          <w:rFonts w:ascii="Consolas" w:cs="Consolas" w:eastAsia="Consolas" w:hAnsi="Consolas"/>
          <w:color w:val="23324B"/>
          <w:sz w:val="18"/>
          <w:szCs w:val="18"/>
        </w:rPr>
        <w:br/>
        <w:t xml:space="preserve">VAR CurrentDate = DATEVALUE('Order Date Time'[Date Time])</w:t>
      </w:r>
      <w:r>
        <w:rPr>
          <w:rFonts w:ascii="Consolas" w:cs="Consolas" w:eastAsia="Consolas" w:hAnsi="Consolas"/>
          <w:color w:val="23324B"/>
          <w:sz w:val="18"/>
          <w:szCs w:val="18"/>
        </w:rPr>
        <w:br/>
        <w:t xml:space="preserve">VAR NextDate    = DATEVALUE('Order Date Time'[Next Order Time])</w:t>
      </w:r>
      <w:r>
        <w:rPr>
          <w:rFonts w:ascii="Consolas" w:cs="Consolas" w:eastAsia="Consolas" w:hAnsi="Consolas"/>
          <w:color w:val="23324B"/>
          <w:sz w:val="18"/>
          <w:szCs w:val="18"/>
        </w:rPr>
        <w:br/>
        <w:t xml:space="preserve">RETURN</w:t>
      </w:r>
      <w:r>
        <w:rPr>
          <w:rFonts w:ascii="Consolas" w:cs="Consolas" w:eastAsia="Consolas" w:hAnsi="Consolas"/>
          <w:color w:val="23324B"/>
          <w:sz w:val="18"/>
          <w:szCs w:val="18"/>
        </w:rPr>
        <w:br/>
        <w:t xml:space="preserve">IF(CurrentDate = NextDate,</w:t>
      </w:r>
      <w:r>
        <w:rPr>
          <w:rFonts w:ascii="Consolas" w:cs="Consolas" w:eastAsia="Consolas" w:hAnsi="Consolas"/>
          <w:color w:val="23324B"/>
          <w:sz w:val="18"/>
          <w:szCs w:val="18"/>
        </w:rPr>
        <w:br/>
        <w:t xml:space="preserve">   DATEDIFF('Order Date Time'[Date Time],</w:t>
      </w:r>
      <w:r>
        <w:rPr>
          <w:rFonts w:ascii="Consolas" w:cs="Consolas" w:eastAsia="Consolas" w:hAnsi="Consolas"/>
          <w:color w:val="23324B"/>
          <w:sz w:val="18"/>
          <w:szCs w:val="18"/>
        </w:rPr>
        <w:br/>
        <w:t xml:space="preserve">            'Order Date Time'[Next Order Time], MINUTE),</w:t>
      </w:r>
      <w:r>
        <w:rPr>
          <w:rFonts w:ascii="Consolas" w:cs="Consolas" w:eastAsia="Consolas" w:hAnsi="Consolas"/>
          <w:color w:val="23324B"/>
          <w:sz w:val="18"/>
          <w:szCs w:val="18"/>
        </w:rPr>
        <w:br/>
        <w:t xml:space="preserve">   BLANK())</w:t>
      </w:r>
    </w:p>
    <w:p>
      <w:pPr>
        <w:spacing w:after="140" w:line="276"/>
      </w:pPr>
      <w:r>
        <w:rPr>
          <w:color w:val="444444"/>
          <w:sz w:val="21"/>
          <w:szCs w:val="21"/>
        </w:rPr>
        <w:t xml:space="preserve">This measures the gap to the next order only when both fall on the same day, avoiding an artificial overnight gap being counted as "time between orders".</w:t>
      </w:r>
    </w:p>
    <w:p>
      <w:r>
        <w:br w:type="page"/>
      </w:r>
    </w:p>
    <w:p>
      <w:pPr>
        <w:pStyle w:val="Heading1"/>
        <w:pBdr>
          <w:bottom w:val="single" w:color="1F2A44" w:sz="8" w:space="4"/>
        </w:pBdr>
        <w:spacing w:after="160" w:before="360"/>
      </w:pPr>
      <w:r>
        <w:rPr>
          <w:b/>
          <w:bCs/>
          <w:color w:val="1F2A44"/>
          <w:sz w:val="30"/>
          <w:szCs w:val="30"/>
        </w:rPr>
        <w:t xml:space="preserve">4. Visuals and Key Insights</w:t>
      </w:r>
    </w:p>
    <w:p>
      <w:pPr>
        <w:pStyle w:val="Heading2"/>
        <w:spacing w:after="120" w:before="260"/>
      </w:pPr>
      <w:r>
        <w:rPr>
          <w:b/>
          <w:bCs/>
          <w:color w:val="1F6F78"/>
          <w:sz w:val="25"/>
          <w:szCs w:val="25"/>
        </w:rPr>
        <w:t xml:space="preserve">Visuals (by report page)</w:t>
      </w:r>
    </w:p>
    <w:p>
      <w:pPr>
        <w:pStyle w:val="Heading3"/>
        <w:spacing w:after="90" w:before="180"/>
      </w:pPr>
      <w:r>
        <w:rPr>
          <w:b/>
          <w:bCs/>
          <w:i/>
          <w:iCs/>
          <w:color w:val="13192B"/>
          <w:sz w:val="22"/>
          <w:szCs w:val="22"/>
        </w:rPr>
        <w:t xml:space="preserve">Page 1 — Common Metrics and Sales Trends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444444"/>
          <w:sz w:val="21"/>
          <w:szCs w:val="21"/>
        </w:rPr>
        <w:t xml:space="preserve">KPI cards: Total Revenue, Total Quantity Sold, Total Orders, Avg Pizza per Order, Avg Order Value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444444"/>
          <w:sz w:val="21"/>
          <w:szCs w:val="21"/>
        </w:rPr>
        <w:t xml:space="preserve">Line chart "Daily Sales Performance": Revenue, Orders and Quantity Sold across Day of Year / Week of Year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444444"/>
          <w:sz w:val="21"/>
          <w:szCs w:val="21"/>
        </w:rPr>
        <w:t xml:space="preserve">Pivot-table heatmap "Sales Performance by Day of Week and Time of Day": Revenue by Hour × Day Name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444444"/>
          <w:sz w:val="21"/>
          <w:szCs w:val="21"/>
        </w:rPr>
        <w:t xml:space="preserve">Month slicer and page-navigation buttons</w:t>
      </w:r>
    </w:p>
    <w:p>
      <w:pPr>
        <w:pStyle w:val="Heading3"/>
        <w:spacing w:after="90" w:before="180"/>
      </w:pPr>
      <w:r>
        <w:rPr>
          <w:b/>
          <w:bCs/>
          <w:i/>
          <w:iCs/>
          <w:color w:val="13192B"/>
          <w:sz w:val="22"/>
          <w:szCs w:val="22"/>
        </w:rPr>
        <w:t xml:space="preserve">Page 2 — Category and Pizza Analysis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444444"/>
          <w:sz w:val="21"/>
          <w:szCs w:val="21"/>
        </w:rPr>
        <w:t xml:space="preserve">100% stacked column chart: "Sales by Category and Size"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444444"/>
          <w:sz w:val="21"/>
          <w:szCs w:val="21"/>
        </w:rPr>
        <w:t xml:space="preserve">Clustered bar charts by category and by pizza name, driven by field-parameter slicers so the viewer can switch between Quantity and Revenue, and between Top 5 and Bottom 5</w:t>
      </w:r>
    </w:p>
    <w:p>
      <w:pPr>
        <w:pStyle w:val="Heading3"/>
        <w:spacing w:after="90" w:before="180"/>
      </w:pPr>
      <w:r>
        <w:rPr>
          <w:b/>
          <w:bCs/>
          <w:i/>
          <w:iCs/>
          <w:color w:val="13192B"/>
          <w:sz w:val="22"/>
          <w:szCs w:val="22"/>
        </w:rPr>
        <w:t xml:space="preserve">Page 3 — Ingredient Analysis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444444"/>
          <w:sz w:val="21"/>
          <w:szCs w:val="21"/>
        </w:rPr>
        <w:t xml:space="preserve">Category slicer plus most-popular / least-popular ingredient tables per category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444444"/>
          <w:sz w:val="21"/>
          <w:szCs w:val="21"/>
        </w:rPr>
        <w:t xml:space="preserve">Scatter chart of Total Quantity Sold vs. Total Revenue by ingredient, with a correlation-coefficient card</w:t>
      </w:r>
    </w:p>
    <w:p>
      <w:pPr>
        <w:pStyle w:val="Heading3"/>
        <w:spacing w:after="90" w:before="180"/>
      </w:pPr>
      <w:r>
        <w:rPr>
          <w:b/>
          <w:bCs/>
          <w:i/>
          <w:iCs/>
          <w:color w:val="13192B"/>
          <w:sz w:val="22"/>
          <w:szCs w:val="22"/>
        </w:rPr>
        <w:t xml:space="preserve">Page 4 — Average Indicators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444444"/>
          <w:sz w:val="21"/>
          <w:szCs w:val="21"/>
        </w:rPr>
        <w:t xml:space="preserve">Scatter chart of Avg Pizza Price vs. Total Orders by category, with its own correlation-coefficient card and trend line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444444"/>
          <w:sz w:val="21"/>
          <w:szCs w:val="21"/>
        </w:rPr>
        <w:t xml:space="preserve">Pie chart of order mix (Single-item vs. Multi-item) and a card for the average time interval between orders</w:t>
      </w:r>
    </w:p>
    <w:p>
      <w:pPr>
        <w:pStyle w:val="Heading2"/>
        <w:spacing w:after="120" w:before="260"/>
      </w:pPr>
      <w:r>
        <w:rPr>
          <w:b/>
          <w:bCs/>
          <w:color w:val="1F6F78"/>
          <w:sz w:val="25"/>
          <w:szCs w:val="25"/>
        </w:rPr>
        <w:t xml:space="preserve">Key Insights Identified</w:t>
      </w:r>
    </w:p>
    <w:p>
      <w:pPr>
        <w:pStyle w:val="Heading3"/>
        <w:spacing w:after="90" w:before="180"/>
      </w:pPr>
      <w:r>
        <w:rPr>
          <w:b/>
          <w:bCs/>
          <w:i/>
          <w:iCs/>
          <w:color w:val="13192B"/>
          <w:sz w:val="22"/>
          <w:szCs w:val="22"/>
        </w:rPr>
        <w:t xml:space="preserve">KPIs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444444"/>
          <w:sz w:val="21"/>
          <w:szCs w:val="21"/>
        </w:rPr>
        <w:t xml:space="preserve">Total Revenue: $817.86K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444444"/>
          <w:sz w:val="21"/>
          <w:szCs w:val="21"/>
        </w:rPr>
        <w:t xml:space="preserve">Total Quantity Sold: ~49.6K pizzas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444444"/>
          <w:sz w:val="21"/>
          <w:szCs w:val="21"/>
        </w:rPr>
        <w:t xml:space="preserve">Total Orders: 21,350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444444"/>
          <w:sz w:val="21"/>
          <w:szCs w:val="21"/>
        </w:rPr>
        <w:t xml:space="preserve">Average Order Value: $38.31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444444"/>
          <w:sz w:val="21"/>
          <w:szCs w:val="21"/>
        </w:rPr>
        <w:t xml:space="preserve">Average Pizzas per Order: 2.32 — most customers buy more than one pizza per order.</w:t>
      </w:r>
    </w:p>
    <w:p>
      <w:pPr>
        <w:pStyle w:val="Heading3"/>
        <w:spacing w:after="90" w:before="180"/>
      </w:pPr>
      <w:r>
        <w:rPr>
          <w:b/>
          <w:bCs/>
          <w:i/>
          <w:iCs/>
          <w:color w:val="13192B"/>
          <w:sz w:val="22"/>
          <w:szCs w:val="22"/>
        </w:rPr>
        <w:t xml:space="preserve">Sales trends and seasonality</w:t>
      </w:r>
    </w:p>
    <w:p>
      <w:pPr>
        <w:spacing w:after="140" w:line="276"/>
      </w:pPr>
      <w:r>
        <w:rPr>
          <w:color w:val="444444"/>
          <w:sz w:val="21"/>
          <w:szCs w:val="21"/>
        </w:rPr>
        <w:t xml:space="preserve">Weekly revenue typically runs $13K–$17K, dipping toward the start and end of the year and peaking around week 48. By day of week (exact revenue, ranked):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000"/>
      </w:tblGrid>
      <w:tr>
        <w:trPr>
          <w:cantSplit/>
          <w:tblHeader/>
        </w:trPr>
        <w:tc>
          <w:tcPr>
            <w:tcW w:type="dxa" w:w="40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40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Total revenue</w:t>
            </w:r>
          </w:p>
        </w:tc>
      </w:tr>
      <w:tr>
        <w:trPr>
          <w:cantSplit/>
        </w:trPr>
        <w:tc>
          <w:tcPr>
            <w:tcW w:type="dxa" w:w="4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Friday</w:t>
            </w:r>
          </w:p>
        </w:tc>
        <w:tc>
          <w:tcPr>
            <w:tcW w:type="dxa" w:w="4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$136.07K</w:t>
            </w:r>
          </w:p>
        </w:tc>
      </w:tr>
      <w:tr>
        <w:trPr>
          <w:cantSplit/>
        </w:trPr>
        <w:tc>
          <w:tcPr>
            <w:tcW w:type="dxa" w:w="4000"/>
            <w:shd w:fill="EEF2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Thursday</w:t>
            </w:r>
          </w:p>
        </w:tc>
        <w:tc>
          <w:tcPr>
            <w:tcW w:type="dxa" w:w="4000"/>
            <w:shd w:fill="EEF2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$123.53K</w:t>
            </w:r>
          </w:p>
        </w:tc>
      </w:tr>
      <w:tr>
        <w:trPr>
          <w:cantSplit/>
        </w:trPr>
        <w:tc>
          <w:tcPr>
            <w:tcW w:type="dxa" w:w="4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Saturday</w:t>
            </w:r>
          </w:p>
        </w:tc>
        <w:tc>
          <w:tcPr>
            <w:tcW w:type="dxa" w:w="4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$123.18K</w:t>
            </w:r>
          </w:p>
        </w:tc>
      </w:tr>
      <w:tr>
        <w:trPr>
          <w:cantSplit/>
        </w:trPr>
        <w:tc>
          <w:tcPr>
            <w:tcW w:type="dxa" w:w="4000"/>
            <w:shd w:fill="EEF2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Wednesday</w:t>
            </w:r>
          </w:p>
        </w:tc>
        <w:tc>
          <w:tcPr>
            <w:tcW w:type="dxa" w:w="4000"/>
            <w:shd w:fill="EEF2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$114.41K</w:t>
            </w:r>
          </w:p>
        </w:tc>
      </w:tr>
      <w:tr>
        <w:trPr>
          <w:cantSplit/>
        </w:trPr>
        <w:tc>
          <w:tcPr>
            <w:tcW w:type="dxa" w:w="4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Tuesday</w:t>
            </w:r>
          </w:p>
        </w:tc>
        <w:tc>
          <w:tcPr>
            <w:tcW w:type="dxa" w:w="4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$114.13K</w:t>
            </w:r>
          </w:p>
        </w:tc>
      </w:tr>
      <w:tr>
        <w:trPr>
          <w:cantSplit/>
        </w:trPr>
        <w:tc>
          <w:tcPr>
            <w:tcW w:type="dxa" w:w="4000"/>
            <w:shd w:fill="EEF2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Monday</w:t>
            </w:r>
          </w:p>
        </w:tc>
        <w:tc>
          <w:tcPr>
            <w:tcW w:type="dxa" w:w="4000"/>
            <w:shd w:fill="EEF2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$107.33K</w:t>
            </w:r>
          </w:p>
        </w:tc>
      </w:tr>
      <w:tr>
        <w:trPr>
          <w:cantSplit/>
        </w:trPr>
        <w:tc>
          <w:tcPr>
            <w:tcW w:type="dxa" w:w="4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Sunday</w:t>
            </w:r>
          </w:p>
        </w:tc>
        <w:tc>
          <w:tcPr>
            <w:tcW w:type="dxa" w:w="4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$99.20K</w:t>
            </w:r>
          </w:p>
        </w:tc>
      </w:tr>
    </w:tbl>
    <w:p>
      <w:pPr>
        <w:spacing w:after="120"/>
      </w:pPr>
    </w:p>
    <w:p>
      <w:pPr>
        <w:spacing w:after="140" w:line="276"/>
      </w:pPr>
      <w:r>
        <w:rPr>
          <w:color w:val="444444"/>
          <w:sz w:val="21"/>
          <w:szCs w:val="21"/>
        </w:rPr>
        <w:t xml:space="preserve">Thursday–Saturday are the strongest days; Sunday and Monday are weakest. By hour, revenue peaks sharply at 12PM–1PM (lunch), with a secondary rise at 5PM–7PM (early dinner); very little revenue is generated before 11AM or after 9PM. By month, ranked from strongest to weakest: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000"/>
      </w:tblGrid>
      <w:tr>
        <w:trPr>
          <w:cantSplit/>
          <w:tblHeader/>
        </w:trPr>
        <w:tc>
          <w:tcPr>
            <w:tcW w:type="dxa" w:w="40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Month</w:t>
            </w:r>
          </w:p>
        </w:tc>
        <w:tc>
          <w:tcPr>
            <w:tcW w:type="dxa" w:w="40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Total revenue</w:t>
            </w:r>
          </w:p>
        </w:tc>
      </w:tr>
      <w:tr>
        <w:trPr>
          <w:cantSplit/>
        </w:trPr>
        <w:tc>
          <w:tcPr>
            <w:tcW w:type="dxa" w:w="4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July (best)</w:t>
            </w:r>
          </w:p>
        </w:tc>
        <w:tc>
          <w:tcPr>
            <w:tcW w:type="dxa" w:w="4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$72.56K</w:t>
            </w:r>
          </w:p>
        </w:tc>
      </w:tr>
      <w:tr>
        <w:trPr>
          <w:cantSplit/>
        </w:trPr>
        <w:tc>
          <w:tcPr>
            <w:tcW w:type="dxa" w:w="4000"/>
            <w:shd w:fill="EEF2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May</w:t>
            </w:r>
          </w:p>
        </w:tc>
        <w:tc>
          <w:tcPr>
            <w:tcW w:type="dxa" w:w="4000"/>
            <w:shd w:fill="EEF2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$71.40K</w:t>
            </w:r>
          </w:p>
        </w:tc>
      </w:tr>
      <w:tr>
        <w:trPr>
          <w:cantSplit/>
        </w:trPr>
        <w:tc>
          <w:tcPr>
            <w:tcW w:type="dxa" w:w="4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March</w:t>
            </w:r>
          </w:p>
        </w:tc>
        <w:tc>
          <w:tcPr>
            <w:tcW w:type="dxa" w:w="4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$70.40K</w:t>
            </w:r>
          </w:p>
        </w:tc>
      </w:tr>
      <w:tr>
        <w:trPr>
          <w:cantSplit/>
        </w:trPr>
        <w:tc>
          <w:tcPr>
            <w:tcW w:type="dxa" w:w="4000"/>
            <w:shd w:fill="EEF2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November</w:t>
            </w:r>
          </w:p>
        </w:tc>
        <w:tc>
          <w:tcPr>
            <w:tcW w:type="dxa" w:w="4000"/>
            <w:shd w:fill="EEF2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$70.40K</w:t>
            </w:r>
          </w:p>
        </w:tc>
      </w:tr>
      <w:tr>
        <w:trPr>
          <w:cantSplit/>
        </w:trPr>
        <w:tc>
          <w:tcPr>
            <w:tcW w:type="dxa" w:w="4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dxa" w:w="4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dxa" w:w="4000"/>
            <w:shd w:fill="EEF2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February</w:t>
            </w:r>
          </w:p>
        </w:tc>
        <w:tc>
          <w:tcPr>
            <w:tcW w:type="dxa" w:w="4000"/>
            <w:shd w:fill="EEF2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$65.16K</w:t>
            </w:r>
          </w:p>
        </w:tc>
      </w:tr>
      <w:tr>
        <w:trPr>
          <w:cantSplit/>
        </w:trPr>
        <w:tc>
          <w:tcPr>
            <w:tcW w:type="dxa" w:w="4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December</w:t>
            </w:r>
          </w:p>
        </w:tc>
        <w:tc>
          <w:tcPr>
            <w:tcW w:type="dxa" w:w="4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$64.70K</w:t>
            </w:r>
          </w:p>
        </w:tc>
      </w:tr>
      <w:tr>
        <w:trPr>
          <w:cantSplit/>
        </w:trPr>
        <w:tc>
          <w:tcPr>
            <w:tcW w:type="dxa" w:w="4000"/>
            <w:shd w:fill="EEF2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September</w:t>
            </w:r>
          </w:p>
        </w:tc>
        <w:tc>
          <w:tcPr>
            <w:tcW w:type="dxa" w:w="4000"/>
            <w:shd w:fill="EEF2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$64.18K</w:t>
            </w:r>
          </w:p>
        </w:tc>
      </w:tr>
      <w:tr>
        <w:trPr>
          <w:cantSplit/>
        </w:trPr>
        <w:tc>
          <w:tcPr>
            <w:tcW w:type="dxa" w:w="4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October (weakest)</w:t>
            </w:r>
          </w:p>
        </w:tc>
        <w:tc>
          <w:tcPr>
            <w:tcW w:type="dxa" w:w="4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$64.03K</w:t>
            </w:r>
          </w:p>
        </w:tc>
      </w:tr>
    </w:tbl>
    <w:p>
      <w:pPr>
        <w:spacing w:after="16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top w:val="single" w:color="1F6F78" w:sz="16" w:space="4"/>
              <w:left w:val="single" w:color="1F6F78" w:sz="16" w:space="4"/>
              <w:bottom w:val="single" w:color="1F6F78" w:sz="4" w:space="4"/>
              <w:right w:val="single" w:color="1F6F78" w:sz="4" w:space="4"/>
            </w:tcBorders>
            <w:shd w:fill="EAF3F3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F6F78"/>
                <w:sz w:val="21"/>
                <w:szCs w:val="21"/>
              </w:rPr>
              <w:t xml:space="preserve">Deeper analysis — refining the "lowest months"</w:t>
            </w:r>
          </w:p>
          <w:p>
            <w:pPr>
              <w:spacing w:after="60"/>
            </w:pPr>
            <w:r>
              <w:rPr>
                <w:color w:val="444444"/>
                <w:sz w:val="20"/>
                <w:szCs w:val="20"/>
              </w:rPr>
              <w:t xml:space="preserve">The source analysis lists October, February, September and December as the underperforming months without ranking them. Recomputed directly from the order-level data, the true order is: October is the single weakest month ($64.03K), narrowly below September ($64.18K), December ($64.70K) and February ($65.16K). The gap between all four is under 2%, so they behave as one prolonged low-demand cluster rather than four distinct dips — useful when deciding how wide a promotional window needs to be.</w:t>
            </w:r>
          </w:p>
        </w:tc>
      </w:tr>
    </w:tbl>
    <w:p>
      <w:pPr>
        <w:spacing w:after="160"/>
      </w:pPr>
    </w:p>
    <w:p>
      <w:pPr>
        <w:pStyle w:val="Heading3"/>
        <w:spacing w:after="90" w:before="180"/>
      </w:pPr>
      <w:r>
        <w:rPr>
          <w:b/>
          <w:bCs/>
          <w:i/>
          <w:iCs/>
          <w:color w:val="13192B"/>
          <w:sz w:val="22"/>
          <w:szCs w:val="22"/>
        </w:rPr>
        <w:t xml:space="preserve">Product performance</w:t>
      </w:r>
    </w:p>
    <w:p>
      <w:pPr>
        <w:spacing w:after="140" w:line="276"/>
      </w:pPr>
      <w:r>
        <w:rPr>
          <w:color w:val="444444"/>
          <w:sz w:val="21"/>
          <w:szCs w:val="21"/>
        </w:rPr>
        <w:t xml:space="preserve">Category ranking by both volume and revenue, with average selling price added: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200"/>
        <w:gridCol w:w="2450"/>
      </w:tblGrid>
      <w:tr>
        <w:trPr>
          <w:cantSplit/>
          <w:tblHeader/>
        </w:trPr>
        <w:tc>
          <w:tcPr>
            <w:tcW w:type="dxa" w:w="25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22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Quantity sold</w:t>
            </w:r>
          </w:p>
        </w:tc>
        <w:tc>
          <w:tcPr>
            <w:tcW w:type="dxa" w:w="22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Revenue</w:t>
            </w:r>
          </w:p>
        </w:tc>
        <w:tc>
          <w:tcPr>
            <w:tcW w:type="dxa" w:w="245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Avg. price/pizza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Classic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14,888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$220.05K</w:t>
            </w:r>
          </w:p>
        </w:tc>
        <w:tc>
          <w:tcPr>
            <w:tcW w:type="dxa" w:w="24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$14.78</w:t>
            </w:r>
          </w:p>
        </w:tc>
      </w:tr>
      <w:tr>
        <w:trPr>
          <w:cantSplit/>
        </w:trPr>
        <w:tc>
          <w:tcPr>
            <w:tcW w:type="dxa" w:w="2500"/>
            <w:shd w:fill="EEF2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Supreme</w:t>
            </w:r>
          </w:p>
        </w:tc>
        <w:tc>
          <w:tcPr>
            <w:tcW w:type="dxa" w:w="2200"/>
            <w:shd w:fill="EEF2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11,987</w:t>
            </w:r>
          </w:p>
        </w:tc>
        <w:tc>
          <w:tcPr>
            <w:tcW w:type="dxa" w:w="2200"/>
            <w:shd w:fill="EEF2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$208.20K</w:t>
            </w:r>
          </w:p>
        </w:tc>
        <w:tc>
          <w:tcPr>
            <w:tcW w:type="dxa" w:w="2450"/>
            <w:shd w:fill="EEF2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$17.37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Chicken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11,050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$195.92K</w:t>
            </w:r>
          </w:p>
        </w:tc>
        <w:tc>
          <w:tcPr>
            <w:tcW w:type="dxa" w:w="24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$17.73</w:t>
            </w:r>
          </w:p>
        </w:tc>
      </w:tr>
      <w:tr>
        <w:trPr>
          <w:cantSplit/>
        </w:trPr>
        <w:tc>
          <w:tcPr>
            <w:tcW w:type="dxa" w:w="2500"/>
            <w:shd w:fill="EEF2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Veggie</w:t>
            </w:r>
          </w:p>
        </w:tc>
        <w:tc>
          <w:tcPr>
            <w:tcW w:type="dxa" w:w="2200"/>
            <w:shd w:fill="EEF2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11,649</w:t>
            </w:r>
          </w:p>
        </w:tc>
        <w:tc>
          <w:tcPr>
            <w:tcW w:type="dxa" w:w="2200"/>
            <w:shd w:fill="EEF2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$193.69K</w:t>
            </w:r>
          </w:p>
        </w:tc>
        <w:tc>
          <w:tcPr>
            <w:tcW w:type="dxa" w:w="2450"/>
            <w:shd w:fill="EEF2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$16.63</w:t>
            </w:r>
          </w:p>
        </w:tc>
      </w:tr>
    </w:tbl>
    <w:p>
      <w:pPr>
        <w:spacing w:after="120"/>
      </w:pPr>
    </w:p>
    <w:p>
      <w:pPr>
        <w:spacing w:after="140" w:line="276"/>
      </w:pPr>
      <w:r>
        <w:rPr>
          <w:color w:val="444444"/>
          <w:sz w:val="21"/>
          <w:szCs w:val="21"/>
        </w:rPr>
        <w:t xml:space="preserve">Classic leads on both volume and revenue but sells at the lowest average price ($14.78); Chicken and Supreme carry the highest average prices ($17.73 and $17.37) despite lower volumes, confirming they are the model's premium categories rather than its highest-volume ones.</w:t>
      </w:r>
    </w:p>
    <w:p>
      <w:pPr>
        <w:spacing w:after="80"/>
      </w:pPr>
    </w:p>
    <w:p>
      <w:pPr>
        <w:spacing w:after="140" w:line="276"/>
      </w:pPr>
      <w:r>
        <w:rPr>
          <w:color w:val="444444"/>
          <w:sz w:val="21"/>
          <w:szCs w:val="21"/>
        </w:rPr>
        <w:t xml:space="preserve">Top 5 pizzas by quantity sold: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200"/>
        <w:gridCol w:w="2200"/>
      </w:tblGrid>
      <w:tr>
        <w:trPr>
          <w:cantSplit/>
          <w:tblHeader/>
        </w:trPr>
        <w:tc>
          <w:tcPr>
            <w:tcW w:type="dxa" w:w="42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Pizza</w:t>
            </w:r>
          </w:p>
        </w:tc>
        <w:tc>
          <w:tcPr>
            <w:tcW w:type="dxa" w:w="22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Quantity sold</w:t>
            </w:r>
          </w:p>
        </w:tc>
        <w:tc>
          <w:tcPr>
            <w:tcW w:type="dxa" w:w="22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Revenue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Classic Deluxe Pizza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2,453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$38.18K</w:t>
            </w:r>
          </w:p>
        </w:tc>
      </w:tr>
      <w:tr>
        <w:trPr>
          <w:cantSplit/>
        </w:trPr>
        <w:tc>
          <w:tcPr>
            <w:tcW w:type="dxa" w:w="4200"/>
            <w:shd w:fill="EEF2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Barbecue Chicken Pizza</w:t>
            </w:r>
          </w:p>
        </w:tc>
        <w:tc>
          <w:tcPr>
            <w:tcW w:type="dxa" w:w="2200"/>
            <w:shd w:fill="EEF2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2,432</w:t>
            </w:r>
          </w:p>
        </w:tc>
        <w:tc>
          <w:tcPr>
            <w:tcW w:type="dxa" w:w="2200"/>
            <w:shd w:fill="EEF2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$42.77K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Hawaiian Pizza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2,422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$32.27K</w:t>
            </w:r>
          </w:p>
        </w:tc>
      </w:tr>
      <w:tr>
        <w:trPr>
          <w:cantSplit/>
        </w:trPr>
        <w:tc>
          <w:tcPr>
            <w:tcW w:type="dxa" w:w="4200"/>
            <w:shd w:fill="EEF2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Pepperoni Pizza</w:t>
            </w:r>
          </w:p>
        </w:tc>
        <w:tc>
          <w:tcPr>
            <w:tcW w:type="dxa" w:w="2200"/>
            <w:shd w:fill="EEF2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2,418</w:t>
            </w:r>
          </w:p>
        </w:tc>
        <w:tc>
          <w:tcPr>
            <w:tcW w:type="dxa" w:w="2200"/>
            <w:shd w:fill="EEF2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$30.16K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Thai Chicken Pizza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2,371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$43.43K</w:t>
            </w:r>
          </w:p>
        </w:tc>
      </w:tr>
    </w:tbl>
    <w:p>
      <w:pPr>
        <w:spacing w:after="120"/>
      </w:pPr>
    </w:p>
    <w:p>
      <w:pPr>
        <w:spacing w:after="140" w:line="276"/>
      </w:pPr>
      <w:r>
        <w:rPr>
          <w:color w:val="444444"/>
          <w:sz w:val="21"/>
          <w:szCs w:val="21"/>
        </w:rPr>
        <w:t xml:space="preserve">Bottom 5 pizzas by quantity sold: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200"/>
        <w:gridCol w:w="2200"/>
      </w:tblGrid>
      <w:tr>
        <w:trPr>
          <w:cantSplit/>
          <w:tblHeader/>
        </w:trPr>
        <w:tc>
          <w:tcPr>
            <w:tcW w:type="dxa" w:w="42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Pizza</w:t>
            </w:r>
          </w:p>
        </w:tc>
        <w:tc>
          <w:tcPr>
            <w:tcW w:type="dxa" w:w="22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Quantity sold</w:t>
            </w:r>
          </w:p>
        </w:tc>
        <w:tc>
          <w:tcPr>
            <w:tcW w:type="dxa" w:w="22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Revenue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Brie Carre Pizza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490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$11.59K</w:t>
            </w:r>
          </w:p>
        </w:tc>
      </w:tr>
      <w:tr>
        <w:trPr>
          <w:cantSplit/>
        </w:trPr>
        <w:tc>
          <w:tcPr>
            <w:tcW w:type="dxa" w:w="4200"/>
            <w:shd w:fill="EEF2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Mediterranean Pizza</w:t>
            </w:r>
          </w:p>
        </w:tc>
        <w:tc>
          <w:tcPr>
            <w:tcW w:type="dxa" w:w="2200"/>
            <w:shd w:fill="EEF2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934</w:t>
            </w:r>
          </w:p>
        </w:tc>
        <w:tc>
          <w:tcPr>
            <w:tcW w:type="dxa" w:w="2200"/>
            <w:shd w:fill="EEF2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$15.36K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Calabrese Pizza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937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$15.93K</w:t>
            </w:r>
          </w:p>
        </w:tc>
      </w:tr>
      <w:tr>
        <w:trPr>
          <w:cantSplit/>
        </w:trPr>
        <w:tc>
          <w:tcPr>
            <w:tcW w:type="dxa" w:w="4200"/>
            <w:shd w:fill="EEF2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Spinach Supreme Pizza</w:t>
            </w:r>
          </w:p>
        </w:tc>
        <w:tc>
          <w:tcPr>
            <w:tcW w:type="dxa" w:w="2200"/>
            <w:shd w:fill="EEF2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950</w:t>
            </w:r>
          </w:p>
        </w:tc>
        <w:tc>
          <w:tcPr>
            <w:tcW w:type="dxa" w:w="2200"/>
            <w:shd w:fill="EEF2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$15.28K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Soppressata Pizza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961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$16.43K</w:t>
            </w:r>
          </w:p>
        </w:tc>
      </w:tr>
    </w:tbl>
    <w:p>
      <w:pPr>
        <w:spacing w:after="160"/>
      </w:pPr>
    </w:p>
    <w:p>
      <w:pPr>
        <w:spacing w:after="140" w:line="276"/>
      </w:pPr>
      <w:r>
        <w:rPr>
          <w:color w:val="444444"/>
          <w:sz w:val="21"/>
          <w:szCs w:val="21"/>
        </w:rPr>
        <w:t xml:space="preserve">The Brie Carre Pizza is the clearest menu-engineering candidate: it sells roughly a fifth of the volume of the next-lowest pizza and generates under $12K in revenue for the year, well below every other item on the menu.</w:t>
      </w:r>
    </w:p>
    <w:p>
      <w:pPr>
        <w:pStyle w:val="Heading3"/>
        <w:spacing w:after="90" w:before="180"/>
      </w:pPr>
      <w:r>
        <w:rPr>
          <w:b/>
          <w:bCs/>
          <w:i/>
          <w:iCs/>
          <w:color w:val="13192B"/>
          <w:sz w:val="22"/>
          <w:szCs w:val="22"/>
        </w:rPr>
        <w:t xml:space="preserve">Size and ingredient analysis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444444"/>
          <w:sz w:val="21"/>
          <w:szCs w:val="21"/>
        </w:rPr>
        <w:t xml:space="preserve">Large is the single biggest size by volume, followed by Medium then Small; XL and XXL together make up a small fraction of sales and are effectively niche sizes.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444444"/>
          <w:sz w:val="21"/>
          <w:szCs w:val="21"/>
        </w:rPr>
        <w:t xml:space="preserve">Garlic is the most popular ingredient across multiple categories (a genuine cross-category favourite), while Red Peppers, Red Onions and Chicken are each the top ingredient within their own category.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444444"/>
          <w:sz w:val="21"/>
          <w:szCs w:val="21"/>
        </w:rPr>
        <w:t xml:space="preserve">Pesto Sauce, Green Peppers, Kalamata Olives, Plum Tomatoes and a small cluster of premium toppings (Caramelized Onions, Pears, Prosciutto, Thyme, Brie Carre Cheese) are consistently the least-used ingredients.</w:t>
      </w:r>
    </w:p>
    <w:p>
      <w:pPr>
        <w:pStyle w:val="Heading3"/>
        <w:spacing w:after="90" w:before="180"/>
      </w:pPr>
      <w:r>
        <w:rPr>
          <w:b/>
          <w:bCs/>
          <w:i/>
          <w:iCs/>
          <w:color w:val="13192B"/>
          <w:sz w:val="22"/>
          <w:szCs w:val="22"/>
        </w:rPr>
        <w:t xml:space="preserve">Correlations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444444"/>
          <w:sz w:val="21"/>
          <w:szCs w:val="21"/>
        </w:rPr>
        <w:t xml:space="preserve">Ingredient quantity vs. revenue: correlation ≈ 1 — expected, since revenue is derived directly from quantity (Revenue = Price × Quantity), so this measures a mathematical dependency rather than an independent relationship.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444444"/>
          <w:sz w:val="21"/>
          <w:szCs w:val="21"/>
        </w:rPr>
        <w:t xml:space="preserve">Average pizza price vs. total quantity sold, across the four categories: correlation ≈ –0.95 — a strong negative relationship. Classic (the cheapest category) sells the most; Chicken and Supreme (the priciest) sell the least, confirming clear price sensitivity in the customer base.</w:t>
      </w:r>
    </w:p>
    <w:p>
      <w:pPr>
        <w:pStyle w:val="Heading3"/>
        <w:spacing w:after="90" w:before="180"/>
      </w:pPr>
      <w:r>
        <w:rPr>
          <w:b/>
          <w:bCs/>
          <w:i/>
          <w:iCs/>
          <w:color w:val="13192B"/>
          <w:sz w:val="22"/>
          <w:szCs w:val="22"/>
        </w:rPr>
        <w:t xml:space="preserve">Order frequency and timing</w:t>
      </w:r>
    </w:p>
    <w:p>
      <w:pPr>
        <w:spacing w:after="140" w:line="276"/>
      </w:pPr>
      <w:r>
        <w:rPr>
          <w:color w:val="444444"/>
          <w:sz w:val="21"/>
          <w:szCs w:val="21"/>
        </w:rPr>
        <w:t xml:space="preserve">Of the 21,350 orders placed in the year, 8,201 (38.4%) contained only a single distinct pizza and 13,149 (61.6%) contained more than one — so most orders are already multi-item.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top w:val="single" w:color="1F6F78" w:sz="16" w:space="4"/>
              <w:left w:val="single" w:color="1F6F78" w:sz="16" w:space="4"/>
              <w:bottom w:val="single" w:color="1F6F78" w:sz="4" w:space="4"/>
              <w:right w:val="single" w:color="1F6F78" w:sz="4" w:space="4"/>
            </w:tcBorders>
            <w:shd w:fill="EAF3F3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F6F78"/>
                <w:sz w:val="21"/>
                <w:szCs w:val="21"/>
              </w:rPr>
              <w:t xml:space="preserve">Deeper analysis — quantity tells a different story than order count</w:t>
            </w:r>
          </w:p>
          <w:p>
            <w:pPr>
              <w:spacing w:after="60"/>
            </w:pPr>
            <w:r>
              <w:rPr>
                <w:color w:val="444444"/>
                <w:sz w:val="20"/>
                <w:szCs w:val="20"/>
              </w:rPr>
              <w:t xml:space="preserve">The 38.4% / 61.6% split describes the share of orders, not the share of pizzas sold, and the source report's wording blurs that distinction. Looking at actual pizza volume instead: single-item orders account for only about 16.7% of all pizzas sold (~8.3K of ~49.6K), while multi-item orders account for about 83.3% (~41.3K). In other words, multi-item orders don't just outnumber single-item orders — they dominate sales volume even more heavily than the order-level split suggests, which strengthens the case for combo and bundle promotions.</w:t>
            </w:r>
          </w:p>
        </w:tc>
      </w:tr>
    </w:tbl>
    <w:p>
      <w:pPr>
        <w:spacing w:after="160"/>
      </w:pPr>
    </w:p>
    <w:p>
      <w:pPr>
        <w:spacing w:after="140" w:line="276"/>
      </w:pPr>
      <w:r>
        <w:rPr>
          <w:color w:val="444444"/>
          <w:sz w:val="21"/>
          <w:szCs w:val="21"/>
        </w:rPr>
        <w:t xml:space="preserve">The average interval between consecutive same-day orders is 11.0 minutes, indicating steady, continuous demand through service hours rather than isolated bursts.</w:t>
      </w:r>
    </w:p>
    <w:p>
      <w:pPr>
        <w:pStyle w:val="Heading2"/>
        <w:spacing w:after="120" w:before="260"/>
      </w:pPr>
      <w:r>
        <w:rPr>
          <w:b/>
          <w:bCs/>
          <w:color w:val="1F6F78"/>
          <w:sz w:val="25"/>
          <w:szCs w:val="25"/>
        </w:rPr>
        <w:t xml:space="preserve">Recommendations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444444"/>
          <w:sz w:val="21"/>
          <w:szCs w:val="21"/>
        </w:rPr>
        <w:t xml:space="preserve">Pricing: introduce a mid-range tier between Classic and the premium Chicken/Supreme categories to capture volume without eroding the margin the –0.95 price–volume correlation implies is available.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444444"/>
          <w:sz w:val="21"/>
          <w:szCs w:val="21"/>
        </w:rPr>
        <w:t xml:space="preserve">Promote top sellers (Classic Deluxe, Barbecue Chicken, Thai Chicken) and bundle them with drinks or sides at checkout.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444444"/>
          <w:sz w:val="21"/>
          <w:szCs w:val="21"/>
        </w:rPr>
        <w:t xml:space="preserve">Reassess or reformulate the bottom performers — Brie Carre, Mediterranean and Calabrese — and reduce reliance on their associated low-volume ingredients (Prosciutto, Thyme, Pears, Caramelized Onions).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444444"/>
          <w:sz w:val="21"/>
          <w:szCs w:val="21"/>
        </w:rPr>
        <w:t xml:space="preserve">Roster more staff for the confirmed peaks (12–1PM lunch, 5–7PM dinner, Thu–Sat) and consider trimming or discounting the quiet pre-11AM / post-9PM hours.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444444"/>
          <w:sz w:val="21"/>
          <w:szCs w:val="21"/>
        </w:rPr>
        <w:t xml:space="preserve">Run targeted offers in the Oct–Sep–Dec–Feb low-demand cluster rather than treating each month separately, since the four behave as one extended trough.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444444"/>
          <w:sz w:val="21"/>
          <w:szCs w:val="21"/>
        </w:rPr>
        <w:t xml:space="preserve">Lean further into combo and family-bundle offers: multi-item orders already drive roughly five out of every six pizzas sold, so incremental gains here have an outsized effect on total volume.</w:t>
      </w:r>
    </w:p>
    <w:p>
      <w:r>
        <w:br w:type="page"/>
      </w:r>
    </w:p>
    <w:p>
      <w:pPr>
        <w:pStyle w:val="Heading1"/>
        <w:pBdr>
          <w:bottom w:val="single" w:color="1F2A44" w:sz="8" w:space="4"/>
        </w:pBdr>
        <w:spacing w:after="160" w:before="360"/>
      </w:pPr>
      <w:r>
        <w:rPr>
          <w:b/>
          <w:bCs/>
          <w:color w:val="1F2A44"/>
          <w:sz w:val="30"/>
          <w:szCs w:val="30"/>
        </w:rPr>
        <w:t xml:space="preserve">5. Interactive Features</w:t>
      </w:r>
    </w:p>
    <w:p>
      <w:pPr>
        <w:pStyle w:val="Heading2"/>
        <w:spacing w:after="120" w:before="260"/>
      </w:pPr>
      <w:r>
        <w:rPr>
          <w:b/>
          <w:bCs/>
          <w:color w:val="1F6F78"/>
          <w:sz w:val="25"/>
          <w:szCs w:val="25"/>
        </w:rPr>
        <w:t xml:space="preserve">Filters / Slicers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444444"/>
          <w:sz w:val="21"/>
          <w:szCs w:val="21"/>
        </w:rPr>
        <w:t xml:space="preserve">Month slicer (Page 1) and pizza-category slicer (Pages 2 and 3)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444444"/>
          <w:sz w:val="21"/>
          <w:szCs w:val="21"/>
        </w:rPr>
        <w:t xml:space="preserve">Field-parameter slicers for Quantity vs. Revenue and for Top 5 vs. Bottom 5 ranking (Page 2)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444444"/>
          <w:sz w:val="21"/>
          <w:szCs w:val="21"/>
        </w:rPr>
        <w:t xml:space="preserve">Page-navigator buttons on every page for one-click movement between the four report pages</w:t>
      </w:r>
    </w:p>
    <w:p>
      <w:pPr>
        <w:pStyle w:val="Heading2"/>
        <w:spacing w:after="120" w:before="260"/>
      </w:pPr>
      <w:r>
        <w:rPr>
          <w:b/>
          <w:bCs/>
          <w:color w:val="1F6F78"/>
          <w:sz w:val="25"/>
          <w:szCs w:val="25"/>
        </w:rPr>
        <w:t xml:space="preserve">Interactivity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444444"/>
          <w:sz w:val="21"/>
          <w:szCs w:val="21"/>
        </w:rPr>
        <w:t xml:space="preserve">Clicking any slicer cross-filters every visual on that page, including the KPI cards.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444444"/>
          <w:sz w:val="21"/>
          <w:szCs w:val="21"/>
        </w:rPr>
        <w:t xml:space="preserve">The Quantity/Revenue and Top 5/Bottom 5 parameters let one pair of bar charts serve four different views without duplicating visuals.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444444"/>
          <w:sz w:val="21"/>
          <w:szCs w:val="21"/>
        </w:rPr>
        <w:t xml:space="preserve">The Day-of-Week × Hour heatmap lets a viewer pinpoint the exact peak windows within a selected month.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444444"/>
          <w:sz w:val="21"/>
          <w:szCs w:val="21"/>
        </w:rPr>
        <w:t xml:space="preserve">Both scatter charts carry a live correlation-coefficient card and trend line that recompute as filters change.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444444"/>
          <w:sz w:val="21"/>
          <w:szCs w:val="21"/>
        </w:rPr>
        <w:t xml:space="preserve">The bidirectional Pizza Ingredients ↔ Pizza relationship means selecting an ingredient filters back to which pizzas and categories use it, not just the reverse.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</w:pPr>
    <w:r>
      <w:rPr>
        <w:color w:val="999999"/>
        <w:sz w:val="15"/>
        <w:szCs w:val="15"/>
      </w:rPr>
      <w:t xml:space="preserve">PIZZA SALES ANALYTICS | Dashboard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○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4444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Pizza Sales Performance Analysis — Dashboard Documentation</dc:title>
  <dc:creator>Thao Vy Dang</dc:creator>
  <cp:lastModifiedBy>Un-named</cp:lastModifiedBy>
  <cp:revision>1</cp:revision>
  <dcterms:created xsi:type="dcterms:W3CDTF">2026-09-20T17:35:35.983Z</dcterms:created>
  <dcterms:modified xsi:type="dcterms:W3CDTF">2026-09-20T17:35:35.992Z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