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Intrusion Detection Using Machine Learning</w:t>
      </w:r>
    </w:p>
    <w:p>
      <w:pPr>
        <w:spacing w:after="120"/>
        <w:jc w:val="center"/>
      </w:pPr>
      <w:r>
        <w:rPr>
          <w:b/>
          <w:i w:val="0"/>
          <w:sz w:val="22"/>
        </w:rPr>
        <w:t>[Institution / University Name]</w:t>
      </w:r>
    </w:p>
    <w:p>
      <w:pPr>
        <w:spacing w:after="120"/>
        <w:jc w:val="center"/>
      </w:pPr>
      <w:r>
        <w:rPr>
          <w:b w:val="0"/>
          <w:i/>
          <w:sz w:val="22"/>
        </w:rPr>
        <w:t>Course: ECSCI24302 - [Course title as per syllabus]</w:t>
        <w:br/>
        <w:t>Team: [Team member names]</w:t>
        <w:br/>
        <w:t>Supervisor: [Supervisor / Course coordinator]</w:t>
        <w:br/>
        <w:t>Date: [Allotted date]</w:t>
      </w:r>
    </w:p>
    <w:p>
      <w:pPr>
        <w:pStyle w:val="Heading1"/>
      </w:pPr>
      <w:r>
        <w:t>Abstract</w:t>
      </w:r>
    </w:p>
    <w:p>
      <w:pPr>
        <w:spacing w:after="120"/>
      </w:pPr>
      <w:r>
        <w:rPr>
          <w:b w:val="0"/>
          <w:i w:val="0"/>
          <w:sz w:val="22"/>
        </w:rPr>
        <w:t>A leak-free supervised pipeline detects malicious flows in the UNSW-NB15 official partitioned release: 175,341 raw training rows (deduplicated to 107,740) and 82,332 untouched testing flows. With identical leakage-controlled pipelines, the selected HistGradientBoosting (tuned) achieves on the testing partition accuracy 0.8712, precision 0.8154, recall 0.9903, F1 0.8944, ROC-AUC 0.9868 and average precision 0.9903 at a validation-chosen threshold of 0.480. Findings are reported honestly: 440 missed attacks (FNR 0.97%) but 10,164 false alarms (FPR 27.47%) - the official train/test distribution shift explains the FPR, and the leakage sensitivity check (4,247 shared exact flows, 5.16%; F1 0.8944 vs 0.8902 unique-only) quantifies the release's own inflation. Feature importance is reported with an explicit caveat: permuting sttl costs 0.3748 F1, but sttl is partly a schema artifact of the synthetic capture.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 and problem definition</w:t>
      </w:r>
    </w:p>
    <w:p>
      <w:pPr>
        <w:pStyle w:val="ListNumber"/>
      </w:pPr>
      <w:r>
        <w:t>2. Background and related work</w:t>
      </w:r>
    </w:p>
    <w:p>
      <w:pPr>
        <w:pStyle w:val="ListNumber"/>
      </w:pPr>
      <w:r>
        <w:t>3. Dataset and provenance</w:t>
      </w:r>
    </w:p>
    <w:p>
      <w:pPr>
        <w:pStyle w:val="ListNumber"/>
      </w:pPr>
      <w:r>
        <w:t>4. Methodology and leakage-control rules</w:t>
      </w:r>
    </w:p>
    <w:p>
      <w:pPr>
        <w:pStyle w:val="ListNumber"/>
      </w:pPr>
      <w:r>
        <w:t>5. Data quality audit</w:t>
      </w:r>
    </w:p>
    <w:p>
      <w:pPr>
        <w:pStyle w:val="ListNumber"/>
      </w:pPr>
      <w:r>
        <w:t>6. Exploratory data analysis</w:t>
      </w:r>
    </w:p>
    <w:p>
      <w:pPr>
        <w:pStyle w:val="ListNumber"/>
      </w:pPr>
      <w:r>
        <w:t>7. Model zoo and pipelines</w:t>
      </w:r>
    </w:p>
    <w:p>
      <w:pPr>
        <w:pStyle w:val="ListNumber"/>
      </w:pPr>
      <w:r>
        <w:t>8. Hyper-parameter tuning</w:t>
      </w:r>
    </w:p>
    <w:p>
      <w:pPr>
        <w:pStyle w:val="ListNumber"/>
      </w:pPr>
      <w:r>
        <w:t>9. Validation, selection and operating threshold</w:t>
      </w:r>
    </w:p>
    <w:p>
      <w:pPr>
        <w:pStyle w:val="ListNumber"/>
      </w:pPr>
      <w:r>
        <w:t>10. Evaluation on the untouched testing partition</w:t>
      </w:r>
    </w:p>
    <w:p>
      <w:pPr>
        <w:pStyle w:val="ListNumber"/>
      </w:pPr>
      <w:r>
        <w:t>11. Model comparison</w:t>
      </w:r>
    </w:p>
    <w:p>
      <w:pPr>
        <w:pStyle w:val="ListNumber"/>
      </w:pPr>
      <w:r>
        <w:t>12. Error analysis</w:t>
      </w:r>
    </w:p>
    <w:p>
      <w:pPr>
        <w:pStyle w:val="ListNumber"/>
      </w:pPr>
      <w:r>
        <w:t>13. Interpretation and caveats</w:t>
      </w:r>
    </w:p>
    <w:p>
      <w:pPr>
        <w:pStyle w:val="ListNumber"/>
      </w:pPr>
      <w:r>
        <w:t>14. Robustness, leakage sensitivity and limitations</w:t>
      </w:r>
    </w:p>
    <w:p>
      <w:pPr>
        <w:pStyle w:val="ListNumber"/>
      </w:pPr>
      <w:r>
        <w:t>15. Optional multi-class extension</w:t>
      </w:r>
    </w:p>
    <w:p>
      <w:pPr>
        <w:pStyle w:val="ListNumber"/>
      </w:pPr>
      <w:r>
        <w:t>16. Conclusion and future work</w:t>
      </w:r>
    </w:p>
    <w:p>
      <w:pPr>
        <w:pStyle w:val="ListNumber"/>
      </w:pPr>
      <w:r>
        <w:t>17. References and reproduction instructions</w:t>
      </w:r>
    </w:p>
    <w:p>
      <w:pPr>
        <w:pStyle w:val="Heading1"/>
      </w:pPr>
      <w:r>
        <w:t>1. Introduction and problem definition</w:t>
      </w:r>
    </w:p>
    <w:p>
      <w:pPr>
        <w:spacing w:after="120"/>
      </w:pPr>
      <w:r>
        <w:rPr>
          <w:b w:val="0"/>
          <w:i w:val="0"/>
          <w:sz w:val="22"/>
        </w:rPr>
        <w:t>This project answers a single measurable question: on UNSW-NB15, how well can a leak-free supervised pipeline separate malicious from benign flows, and with what honest caveat on deployment readiness: the operational aim is to miss few attacks while reporting an honest false-alarm rate. The scope is an academic benchmark, NOT a production NIDS; generalisation claims stop at the dataset.</w:t>
      </w:r>
    </w:p>
    <w:p>
      <w:pPr>
        <w:pStyle w:val="Heading1"/>
      </w:pPr>
      <w:r>
        <w:t>2. Background and related work</w:t>
      </w:r>
    </w:p>
    <w:p>
      <w:pPr>
        <w:spacing w:after="120"/>
      </w:pPr>
      <w:r>
        <w:rPr>
          <w:b w:val="0"/>
          <w:i w:val="0"/>
          <w:sz w:val="22"/>
        </w:rPr>
        <w:t>UNSW-NB15 (2015) established a benchmark that mixes real Waterloo and UNSW captures with synthetically generated modern attacks; the Moustafa &amp; Slay papers describe design and statistical properties including the train/test distribution differences. Class imbalance work (SMOTE line) motivates class_weight choices. For legacy KDD99/CICIDS comparisons see the referenced survey literature. Structured trees follow Breiman (CART, Random Forests); gradient boosting follows Hastie et al.'s generic treatment.</w:t>
      </w:r>
    </w:p>
    <w:p>
      <w:pPr>
        <w:pStyle w:val="Heading1"/>
      </w:pPr>
      <w:r>
        <w:t>3. Dataset and provenance</w:t>
      </w:r>
    </w:p>
    <w:p>
      <w:pPr>
        <w:spacing w:after="120"/>
      </w:pPr>
      <w:r>
        <w:rPr>
          <w:b w:val="0"/>
          <w:i w:val="0"/>
          <w:sz w:val="22"/>
        </w:rPr>
        <w:t>Official partitioned UNSW-NB15 release. Access page: https://www.kaggle.com/datasets/mrwellsdavid/unsw-nb15. The automated downloader (`python -m src.download_data`) fetches a row-count-verified mirror (https://huggingface.co/datasets/Mireu-Lab/UNSW-NB15) because the Kaggle listing requires credentials; the downloaded files match the official counts exactly: 175,341 training and 82,332 testing rows, 45 columns. Accessed date: 2026-10-26. License per the access page. Verified facts: 0 missing cells and 0 label/attack_cat mismatches in both files; attack families: Analysis, Backdoor, DoS, Exploits, Fuzzers, Generic, Normal, Reconnaissance, Shellcode, Worms.</w:t>
      </w:r>
    </w:p>
    <w:p>
      <w:pPr>
        <w:spacing w:after="120"/>
      </w:pPr>
      <w:r>
        <w:rPr>
          <w:b w:val="0"/>
          <w:i w:val="0"/>
          <w:sz w:val="22"/>
        </w:rPr>
        <w:t>Split discipline: the training partition (deduplicated) is the modeling source; the testing partition (untouched, unreleased-style rows kept as-is) is evaluated exactly once.</w:t>
      </w:r>
    </w:p>
    <w:p>
      <w:pPr>
        <w:pStyle w:val="Heading1"/>
      </w:pPr>
      <w:r>
        <w:t>4. Methodology and leakage-control rules</w:t>
      </w:r>
    </w:p>
    <w:p>
      <w:pPr>
        <w:pStyle w:val="ListNumber"/>
      </w:pPr>
      <w:r>
        <w:t>The official training partition is the only fitting source; the official testing partition is held out until a single final evaluation.</w:t>
      </w:r>
    </w:p>
    <w:p>
      <w:pPr>
        <w:pStyle w:val="ListNumber"/>
      </w:pPr>
      <w:r>
        <w:t>Data-dependent preprocessing is fitted on training data only and after the tuning/validation split.</w:t>
      </w:r>
    </w:p>
    <w:p>
      <w:pPr>
        <w:pStyle w:val="ListNumber"/>
      </w:pPr>
      <w:r>
        <w:t>No model/hyper-parameter/threshold choice uses the test partition in any way (one final predict only).</w:t>
      </w:r>
    </w:p>
    <w:p>
      <w:pPr>
        <w:pStyle w:val="ListNumber"/>
      </w:pPr>
      <w:r>
        <w:t>id, label, attack_cat are excluded from inputs (no target-derived predictor).</w:t>
      </w:r>
    </w:p>
    <w:p>
      <w:pPr>
        <w:pStyle w:val="ListNumber"/>
      </w:pPr>
      <w:r>
        <w:t>Every model shares one Pipeline (FeatureEngineer -&gt; preprocessor -&gt; estimator) so processing is identical.</w:t>
      </w:r>
    </w:p>
    <w:p>
      <w:pPr>
        <w:pStyle w:val="ListNumber"/>
      </w:pPr>
      <w:r>
        <w:t>All randomness is seeded (random_state=42) making the run fully deterministic.</w:t>
      </w:r>
    </w:p>
    <w:p>
      <w:pPr>
        <w:spacing w:after="120"/>
      </w:pPr>
      <w:r>
        <w:rPr>
          <w:b w:val="0"/>
          <w:i w:val="0"/>
          <w:sz w:val="22"/>
        </w:rPr>
        <w:t>Compliance evidence: results/quality_audit.json and dataset_facts.json are written by the same run, so claim and proof share one source.</w:t>
      </w:r>
    </w:p>
    <w:p>
      <w:pPr>
        <w:pStyle w:val="Heading1"/>
      </w:pPr>
      <w:r>
        <w:t>5. Data quality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testing</w:t>
            </w:r>
          </w:p>
        </w:tc>
      </w:tr>
      <w:tr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175,341</w:t>
            </w:r>
          </w:p>
        </w:tc>
        <w:tc>
          <w:tcPr>
            <w:tcW w:type="dxa" w:w="2880"/>
          </w:tcPr>
          <w:p>
            <w:r>
              <w:t>82,332</w:t>
            </w:r>
          </w:p>
        </w:tc>
      </w:tr>
      <w:tr>
        <w:tc>
          <w:tcPr>
            <w:tcW w:type="dxa" w:w="2880"/>
          </w:tcPr>
          <w:p>
            <w:r>
              <w:t>missing cells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exact duplicate rows (excl. id)</w:t>
            </w:r>
          </w:p>
        </w:tc>
        <w:tc>
          <w:tcPr>
            <w:tcW w:type="dxa" w:w="2880"/>
          </w:tcPr>
          <w:p>
            <w:r>
              <w:t>67,601</w:t>
            </w:r>
          </w:p>
        </w:tc>
        <w:tc>
          <w:tcPr>
            <w:tcW w:type="dxa" w:w="2880"/>
          </w:tcPr>
          <w:p>
            <w:r>
              <w:t>26,387</w:t>
            </w:r>
          </w:p>
        </w:tc>
      </w:tr>
      <w:tr>
        <w:tc>
          <w:tcPr>
            <w:tcW w:type="dxa" w:w="2880"/>
          </w:tcPr>
          <w:p>
            <w:r>
              <w:t>label/attack_cat mismatches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Decision recorded in code: 67,601 exact duplicate rows are removed from the TRAINING partition only; the 26,387 duplicate test rows are kept exactly as released (deployment realism; testing is never cleaned).</w:t>
      </w:r>
    </w:p>
    <w:p>
      <w:r>
        <w:drawing>
          <wp:inline xmlns:a="http://schemas.openxmlformats.org/drawingml/2006/main" xmlns:pic="http://schemas.openxmlformats.org/drawingml/2006/picture">
            <wp:extent cx="5120640" cy="1723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issing_and_duplic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2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6: Missing cells and duplicate counts.</w:t>
      </w:r>
    </w:p>
    <w:p>
      <w:r>
        <w:drawing>
          <wp:inline xmlns:a="http://schemas.openxmlformats.org/drawingml/2006/main" xmlns:pic="http://schemas.openxmlformats.org/drawingml/2006/picture">
            <wp:extent cx="5120640" cy="2641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arg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1: Class balance - benign vs malicious per partition.</w:t>
      </w:r>
    </w:p>
    <w:p>
      <w:pPr>
        <w:pStyle w:val="Heading1"/>
      </w:pPr>
      <w:r>
        <w:t>6. Exploratory data analysis</w:t>
      </w:r>
    </w:p>
    <w:p>
      <w:pPr>
        <w:spacing w:after="120"/>
      </w:pPr>
      <w:r>
        <w:rPr>
          <w:b w:val="0"/>
          <w:i w:val="0"/>
          <w:sz w:val="22"/>
        </w:rPr>
        <w:t>Most positively correlated with 'malicious': sttl (0.693), ct_state_ttl (0.578), ct_dst_sport_ltm (0.357), rate (0.338), ct_src_dport_ltm (0.306), ct_dst_src_ltm (0.304), ct_src_ltm (0.238), ct_dst_ltm (0.230)</w:t>
      </w:r>
    </w:p>
    <w:p>
      <w:pPr>
        <w:spacing w:after="120"/>
      </w:pPr>
      <w:r>
        <w:rPr>
          <w:b w:val="0"/>
          <w:i w:val="0"/>
          <w:sz w:val="22"/>
        </w:rPr>
        <w:t>Interpretive note: medians differ genuinely (e.g. sttl 31 vs 254, dttl 29 vs 0, swin/dwin 255 vs 0) - these differences are descriptive, not proof of predictiveness; predictiveness is established only with the held-out test evaluation.</w:t>
      </w:r>
    </w:p>
    <w:p>
      <w:r>
        <w:drawing>
          <wp:inline xmlns:a="http://schemas.openxmlformats.org/drawingml/2006/main" xmlns:pic="http://schemas.openxmlformats.org/drawingml/2006/picture">
            <wp:extent cx="5760720" cy="4364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eature_histogr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3: Key feature histograms by class.</w:t>
      </w:r>
    </w:p>
    <w:p>
      <w:r>
        <w:drawing>
          <wp:inline xmlns:a="http://schemas.openxmlformats.org/drawingml/2006/main" xmlns:pic="http://schemas.openxmlformats.org/drawingml/2006/picture">
            <wp:extent cx="5760720" cy="3052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boxp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4: Box plots separating benign and malicious flows.</w:t>
      </w:r>
    </w:p>
    <w:p>
      <w:r>
        <w:drawing>
          <wp:inline xmlns:a="http://schemas.openxmlformats.org/drawingml/2006/main" xmlns:pic="http://schemas.openxmlformats.org/drawingml/2006/picture">
            <wp:extent cx="4937760" cy="4375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7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5: Feature correlation matrix.</w:t>
      </w:r>
    </w:p>
    <w:p>
      <w:r>
        <w:drawing>
          <wp:inline xmlns:a="http://schemas.openxmlformats.org/drawingml/2006/main" xmlns:pic="http://schemas.openxmlformats.org/drawingml/2006/picture">
            <wp:extent cx="5486400" cy="1825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ategorical_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5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7: proto/service/state by attack share.</w:t>
      </w:r>
    </w:p>
    <w:p>
      <w:r>
        <w:drawing>
          <wp:inline xmlns:a="http://schemas.openxmlformats.org/drawingml/2006/main" xmlns:pic="http://schemas.openxmlformats.org/drawingml/2006/picture">
            <wp:extent cx="5303520" cy="3185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ttack_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2: Attack-family counts per partition.</w:t>
      </w:r>
    </w:p>
    <w:p>
      <w:pPr>
        <w:pStyle w:val="Heading1"/>
      </w:pPr>
      <w:r>
        <w:t>7. Model zoo and pipelines</w:t>
      </w:r>
    </w:p>
    <w:p>
      <w:pPr>
        <w:pStyle w:val="ListBullet"/>
      </w:pPr>
      <w:r>
        <w:t>Dummy (most_frequent) - floor baseline; never eligible for selection.</w:t>
      </w:r>
    </w:p>
    <w:p>
      <w:pPr>
        <w:pStyle w:val="ListBullet"/>
      </w:pPr>
      <w:r>
        <w:t>LogisticRegression (C=1.0 start, class_weight='balanced', StandardScaler pipeline).</w:t>
      </w:r>
    </w:p>
    <w:p>
      <w:pPr>
        <w:pStyle w:val="ListBullet"/>
      </w:pPr>
      <w:r>
        <w:t>DecisionTree (max_depth=12, class_weight='balanced').</w:t>
      </w:r>
    </w:p>
    <w:p>
      <w:pPr>
        <w:pStyle w:val="ListBullet"/>
      </w:pPr>
      <w:r>
        <w:t>RandomForest (200 estimators, class_weight='balanced_subsample').</w:t>
      </w:r>
    </w:p>
    <w:p>
      <w:pPr>
        <w:pStyle w:val="ListBullet"/>
      </w:pPr>
      <w:r>
        <w:t>HistGradientBoosting (max_iter=250 default before tuning).</w:t>
      </w:r>
    </w:p>
    <w:p>
      <w:pPr>
        <w:spacing w:after="120"/>
      </w:pPr>
      <w:r>
        <w:rPr>
          <w:b w:val="0"/>
          <w:i w:val="0"/>
          <w:sz w:val="22"/>
        </w:rPr>
        <w:t>Each pipeline = FeatureEngineer (16 engineered features: totals, bytes/packet, send/receive ratios, loss rates, load_gap, log1p twins of six skewed magnitudes, ftp/http flags) -&gt; preprocessor (median imputer; StandardScaler only for the linear model; OneHotEncoder(handle_unknown='infrequent_if_exist', min_frequency=25) on proto/service/state) -&gt; estimator.</w:t>
      </w:r>
    </w:p>
    <w:p>
      <w:pPr>
        <w:pStyle w:val="Heading1"/>
      </w:pPr>
      <w:r>
        <w:t>8. Hyper-parameter tuning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hyper-parameters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CV F1 (subsample)</w:t>
            </w:r>
          </w:p>
        </w:tc>
      </w:tr>
      <w:tr>
        <w:tc>
          <w:tcPr>
            <w:tcW w:type="dxa" w:w="2160"/>
          </w:tcPr>
          <w:p>
            <w:r>
              <w:t>logregression</w:t>
            </w:r>
          </w:p>
        </w:tc>
        <w:tc>
          <w:tcPr>
            <w:tcW w:type="dxa" w:w="2160"/>
          </w:tcPr>
          <w:p>
            <w:r>
              <w:t>GridSearchCV</w:t>
            </w:r>
          </w:p>
        </w:tc>
        <w:tc>
          <w:tcPr>
            <w:tcW w:type="dxa" w:w="2160"/>
          </w:tcPr>
          <w:p>
            <w:r>
              <w:t>{"C": 3.0}</w:t>
            </w:r>
          </w:p>
        </w:tc>
        <w:tc>
          <w:tcPr>
            <w:tcW w:type="dxa" w:w="2160"/>
          </w:tcPr>
          <w:p>
            <w:r>
              <w:t>0.9119</w:t>
            </w:r>
          </w:p>
        </w:tc>
      </w:tr>
      <w:tr>
        <w:tc>
          <w:tcPr>
            <w:tcW w:type="dxa" w:w="2160"/>
          </w:tcPr>
          <w:p>
            <w:r>
              <w:t>dtree</w:t>
            </w:r>
          </w:p>
        </w:tc>
        <w:tc>
          <w:tcPr>
            <w:tcW w:type="dxa" w:w="2160"/>
          </w:tcPr>
          <w:p>
            <w:r>
              <w:t>GridSearchCV</w:t>
            </w:r>
          </w:p>
        </w:tc>
        <w:tc>
          <w:tcPr>
            <w:tcW w:type="dxa" w:w="2160"/>
          </w:tcPr>
          <w:p>
            <w:r>
              <w:t>{"class_weight": null, "max_depth": 12, "min_samples_leaf": 1}</w:t>
            </w:r>
          </w:p>
        </w:tc>
        <w:tc>
          <w:tcPr>
            <w:tcW w:type="dxa" w:w="2160"/>
          </w:tcPr>
          <w:p>
            <w:r>
              <w:t>0.9209</w:t>
            </w:r>
          </w:p>
        </w:tc>
      </w:tr>
      <w:tr>
        <w:tc>
          <w:tcPr>
            <w:tcW w:type="dxa" w:w="2160"/>
          </w:tcPr>
          <w:p>
            <w:r>
              <w:t>forest</w:t>
            </w:r>
          </w:p>
        </w:tc>
        <w:tc>
          <w:tcPr>
            <w:tcW w:type="dxa" w:w="2160"/>
          </w:tcPr>
          <w:p>
            <w:r>
              <w:t>RandomizedSearchCV</w:t>
            </w:r>
          </w:p>
        </w:tc>
        <w:tc>
          <w:tcPr>
            <w:tcW w:type="dxa" w:w="2160"/>
          </w:tcPr>
          <w:p>
            <w:r>
              <w:t>{"n_estimators": 400, "min_samples_leaf": 2, "max_features": 0.3, "max_depth": 16, "class_weight": null}</w:t>
            </w:r>
          </w:p>
        </w:tc>
        <w:tc>
          <w:tcPr>
            <w:tcW w:type="dxa" w:w="2160"/>
          </w:tcPr>
          <w:p>
            <w:r>
              <w:t>0.9346</w:t>
            </w:r>
          </w:p>
        </w:tc>
      </w:tr>
      <w:tr>
        <w:tc>
          <w:tcPr>
            <w:tcW w:type="dxa" w:w="2160"/>
          </w:tcPr>
          <w:p>
            <w:r>
              <w:t>gb</w:t>
            </w:r>
          </w:p>
        </w:tc>
        <w:tc>
          <w:tcPr>
            <w:tcW w:type="dxa" w:w="2160"/>
          </w:tcPr>
          <w:p>
            <w:r>
              <w:t>RandomizedSearchCV</w:t>
            </w:r>
          </w:p>
        </w:tc>
        <w:tc>
          <w:tcPr>
            <w:tcW w:type="dxa" w:w="2160"/>
          </w:tcPr>
          <w:p>
            <w:r>
              <w:t>{"min_samples_leaf": 40, "max_leaf_nodes": 63, "max_iter": 300, "learning_rate": 0.03, "l2_regularization": 1.0}</w:t>
            </w:r>
          </w:p>
        </w:tc>
        <w:tc>
          <w:tcPr>
            <w:tcW w:type="dxa" w:w="2160"/>
          </w:tcPr>
          <w:p>
            <w:r>
              <w:t>0.9359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Search design: cv=3, scoring=F1, stratified 60,000-row subsample of the training partition (documented compute constraint); search spaces fixed a priori and printed in full in results/tuning_*.json. Two models use GridSearchCV (LogisticRegression, DecisionTree) and two use RandomizedSearchCV (RandomForest, HistGradientBoosting).</w:t>
      </w:r>
    </w:p>
    <w:p>
      <w:pPr>
        <w:pStyle w:val="Heading1"/>
      </w:pPr>
      <w:r>
        <w:t>9. Validation, selection and operating threshold</w:t>
      </w:r>
    </w:p>
    <w:p>
      <w:pPr>
        <w:spacing w:after="120"/>
      </w:pPr>
      <w:r>
        <w:rPr>
          <w:b w:val="0"/>
          <w:i w:val="0"/>
          <w:sz w:val="22"/>
        </w:rPr>
        <w:t>5-fold stratified CV on the full training partition (validation table):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CV 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1728"/>
          </w:tcPr>
          <w:p>
            <w:r>
              <w:t>HistGradientBoosting (tuned)</w:t>
            </w:r>
          </w:p>
        </w:tc>
        <w:tc>
          <w:tcPr>
            <w:tcW w:type="dxa" w:w="1728"/>
          </w:tcPr>
          <w:p>
            <w:r>
              <w:t>0.9390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  <w:tc>
          <w:tcPr>
            <w:tcW w:type="dxa" w:w="1728"/>
          </w:tcPr>
          <w:p>
            <w:r>
              <w:t>0.9357</w:t>
            </w:r>
          </w:p>
        </w:tc>
        <w:tc>
          <w:tcPr>
            <w:tcW w:type="dxa" w:w="1728"/>
          </w:tcPr>
          <w:p>
            <w:r>
              <w:t>0.9872</w:t>
            </w:r>
          </w:p>
        </w:tc>
      </w:tr>
      <w:tr>
        <w:tc>
          <w:tcPr>
            <w:tcW w:type="dxa" w:w="1728"/>
          </w:tcPr>
          <w:p>
            <w:r>
              <w:t>RandomForest (tuned)</w:t>
            </w:r>
          </w:p>
        </w:tc>
        <w:tc>
          <w:tcPr>
            <w:tcW w:type="dxa" w:w="1728"/>
          </w:tcPr>
          <w:p>
            <w:r>
              <w:t>0.9382</w:t>
            </w:r>
          </w:p>
        </w:tc>
        <w:tc>
          <w:tcPr>
            <w:tcW w:type="dxa" w:w="1728"/>
          </w:tcPr>
          <w:p>
            <w:r>
              <w:t>0.0011</w:t>
            </w:r>
          </w:p>
        </w:tc>
        <w:tc>
          <w:tcPr>
            <w:tcW w:type="dxa" w:w="1728"/>
          </w:tcPr>
          <w:p>
            <w:r>
              <w:t>0.9344</w:t>
            </w:r>
          </w:p>
        </w:tc>
        <w:tc>
          <w:tcPr>
            <w:tcW w:type="dxa" w:w="1728"/>
          </w:tcPr>
          <w:p>
            <w:r>
              <w:t>0.9870</w:t>
            </w:r>
          </w:p>
        </w:tc>
      </w:tr>
      <w:tr>
        <w:tc>
          <w:tcPr>
            <w:tcW w:type="dxa" w:w="1728"/>
          </w:tcPr>
          <w:p>
            <w:r>
              <w:t>DecisionTree (tuned)</w:t>
            </w:r>
          </w:p>
        </w:tc>
        <w:tc>
          <w:tcPr>
            <w:tcW w:type="dxa" w:w="1728"/>
          </w:tcPr>
          <w:p>
            <w:r>
              <w:t>0.9268</w:t>
            </w:r>
          </w:p>
        </w:tc>
        <w:tc>
          <w:tcPr>
            <w:tcW w:type="dxa" w:w="1728"/>
          </w:tcPr>
          <w:p>
            <w:r>
              <w:t>0.0015</w:t>
            </w:r>
          </w:p>
        </w:tc>
        <w:tc>
          <w:tcPr>
            <w:tcW w:type="dxa" w:w="1728"/>
          </w:tcPr>
          <w:p>
            <w:r>
              <w:t>0.9227</w:t>
            </w:r>
          </w:p>
        </w:tc>
        <w:tc>
          <w:tcPr>
            <w:tcW w:type="dxa" w:w="1728"/>
          </w:tcPr>
          <w:p>
            <w:r>
              <w:t>0.9788</w:t>
            </w:r>
          </w:p>
        </w:tc>
      </w:tr>
      <w:tr>
        <w:tc>
          <w:tcPr>
            <w:tcW w:type="dxa" w:w="1728"/>
          </w:tcPr>
          <w:p>
            <w:r>
              <w:t>LogisticRegression (tuned)</w:t>
            </w:r>
          </w:p>
        </w:tc>
        <w:tc>
          <w:tcPr>
            <w:tcW w:type="dxa" w:w="1728"/>
          </w:tcPr>
          <w:p>
            <w:r>
              <w:t>0.9125</w:t>
            </w:r>
          </w:p>
        </w:tc>
        <w:tc>
          <w:tcPr>
            <w:tcW w:type="dxa" w:w="1728"/>
          </w:tcPr>
          <w:p>
            <w:r>
              <w:t>0.0009</w:t>
            </w:r>
          </w:p>
        </w:tc>
        <w:tc>
          <w:tcPr>
            <w:tcW w:type="dxa" w:w="1728"/>
          </w:tcPr>
          <w:p>
            <w:r>
              <w:t>0.9037</w:t>
            </w:r>
          </w:p>
        </w:tc>
        <w:tc>
          <w:tcPr>
            <w:tcW w:type="dxa" w:w="1728"/>
          </w:tcPr>
          <w:p>
            <w:r>
              <w:t>0.9695</w:t>
            </w:r>
          </w:p>
        </w:tc>
      </w:tr>
      <w:tr>
        <w:tc>
          <w:tcPr>
            <w:tcW w:type="dxa" w:w="1728"/>
          </w:tcPr>
          <w:p>
            <w:r>
              <w:t>Dummy</w:t>
            </w:r>
          </w:p>
        </w:tc>
        <w:tc>
          <w:tcPr>
            <w:tcW w:type="dxa" w:w="1728"/>
          </w:tcPr>
          <w:p>
            <w:r>
              <w:t>0.6828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0.5184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Selection rule (fixed a priori): highest mean CV F1 among tuned candidates; the dummy baseline is never eligible. Selected: HistGradientBoosting (tuned) with CV F1 0.9390 +/- 0.0013. Operating threshold: maximise F1 on the stratified 20% internal validation slice of the training partition - never on test. Resulting threshold = 0.480.</w:t>
      </w:r>
    </w:p>
    <w:p>
      <w:r>
        <w:drawing>
          <wp:inline xmlns:a="http://schemas.openxmlformats.org/drawingml/2006/main" xmlns:pic="http://schemas.openxmlformats.org/drawingml/2006/picture">
            <wp:extent cx="5303520" cy="41125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hreshold_trade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12: Operating-threshold trade-off (validation slice).</w:t>
      </w:r>
    </w:p>
    <w:p>
      <w:pPr>
        <w:pStyle w:val="Heading1"/>
      </w:pPr>
      <w:r>
        <w:t>10. Evaluation on the untouched testing partition</w:t>
      </w:r>
    </w:p>
    <w:p>
      <w:pPr>
        <w:spacing w:after="120"/>
      </w:pPr>
      <w:r>
        <w:rPr>
          <w:b w:val="0"/>
          <w:i w:val="0"/>
          <w:sz w:val="22"/>
        </w:rPr>
        <w:t>The single pass. All five pipelines (dummy + 4 tuned) scored at the fixed threshold (0.480): the chosen model's full metrics: accuracy 0.8712, precision 0.8154, recall 0.9903, F1 0.8944, ROC-AUC 0.9868, average precision 0.9903, FPR 27.47%, FNR 0.97%. Confusion (benign first): tn=26,836, fp=10,164, fn=440, tp=44,892.</w:t>
      </w:r>
    </w:p>
    <w:p>
      <w:r>
        <w:drawing>
          <wp:inline xmlns:a="http://schemas.openxmlformats.org/drawingml/2006/main" xmlns:pic="http://schemas.openxmlformats.org/drawingml/2006/picture">
            <wp:extent cx="5760720" cy="54588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usion_matrix_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10: Confusion matrix of the chosen model (test).</w:t>
      </w:r>
    </w:p>
    <w:p>
      <w:r>
        <w:drawing>
          <wp:inline xmlns:a="http://schemas.openxmlformats.org/drawingml/2006/main" xmlns:pic="http://schemas.openxmlformats.org/drawingml/2006/picture">
            <wp:extent cx="4572000" cy="4420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b_confusion_matrix_normal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10b: Class-normalised confusion matrix.</w:t>
      </w:r>
    </w:p>
    <w:p>
      <w:r>
        <w:drawing>
          <wp:inline xmlns:a="http://schemas.openxmlformats.org/drawingml/2006/main" xmlns:pic="http://schemas.openxmlformats.org/drawingml/2006/picture">
            <wp:extent cx="5669280" cy="5136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oc_cur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3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8: ROC curves on the untouched testing partition.</w:t>
      </w:r>
    </w:p>
    <w:p>
      <w:r>
        <w:drawing>
          <wp:inline xmlns:a="http://schemas.openxmlformats.org/drawingml/2006/main" xmlns:pic="http://schemas.openxmlformats.org/drawingml/2006/picture">
            <wp:extent cx="5669280" cy="5136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r_curv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3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9: Precision-recall curves on the testing partition.</w:t>
      </w:r>
    </w:p>
    <w:p>
      <w:r>
        <w:drawing>
          <wp:inline xmlns:a="http://schemas.openxmlformats.org/drawingml/2006/main" xmlns:pic="http://schemas.openxmlformats.org/drawingml/2006/picture">
            <wp:extent cx="4937760" cy="4445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calibr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44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14: Calibration of the chosen model.</w:t>
      </w:r>
    </w:p>
    <w:p>
      <w:pPr>
        <w:pStyle w:val="Heading1"/>
      </w:pPr>
      <w:r>
        <w:t>11.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</w:t>
            </w:r>
          </w:p>
        </w:tc>
      </w:tr>
      <w:tr>
        <w:tc>
          <w:tcPr>
            <w:tcW w:type="dxa" w:w="1234"/>
          </w:tcPr>
          <w:p>
            <w:r>
              <w:t>HistGradientBoosting (tuned)</w:t>
            </w:r>
          </w:p>
        </w:tc>
        <w:tc>
          <w:tcPr>
            <w:tcW w:type="dxa" w:w="1234"/>
          </w:tcPr>
          <w:p>
            <w:r>
              <w:t>0.8712</w:t>
            </w:r>
          </w:p>
        </w:tc>
        <w:tc>
          <w:tcPr>
            <w:tcW w:type="dxa" w:w="1234"/>
          </w:tcPr>
          <w:p>
            <w:r>
              <w:t>0.8154</w:t>
            </w:r>
          </w:p>
        </w:tc>
        <w:tc>
          <w:tcPr>
            <w:tcW w:type="dxa" w:w="1234"/>
          </w:tcPr>
          <w:p>
            <w:r>
              <w:t>0.9903</w:t>
            </w:r>
          </w:p>
        </w:tc>
        <w:tc>
          <w:tcPr>
            <w:tcW w:type="dxa" w:w="1234"/>
          </w:tcPr>
          <w:p>
            <w:r>
              <w:t>0.8944</w:t>
            </w:r>
          </w:p>
        </w:tc>
        <w:tc>
          <w:tcPr>
            <w:tcW w:type="dxa" w:w="1234"/>
          </w:tcPr>
          <w:p>
            <w:r>
              <w:t>0.9868</w:t>
            </w:r>
          </w:p>
        </w:tc>
        <w:tc>
          <w:tcPr>
            <w:tcW w:type="dxa" w:w="1234"/>
          </w:tcPr>
          <w:p>
            <w:r>
              <w:t>0.9903</w:t>
            </w:r>
          </w:p>
        </w:tc>
      </w:tr>
      <w:tr>
        <w:tc>
          <w:tcPr>
            <w:tcW w:type="dxa" w:w="1234"/>
          </w:tcPr>
          <w:p>
            <w:r>
              <w:t>RandomForest (tuned)</w:t>
            </w:r>
          </w:p>
        </w:tc>
        <w:tc>
          <w:tcPr>
            <w:tcW w:type="dxa" w:w="1234"/>
          </w:tcPr>
          <w:p>
            <w:r>
              <w:t>0.8663</w:t>
            </w:r>
          </w:p>
        </w:tc>
        <w:tc>
          <w:tcPr>
            <w:tcW w:type="dxa" w:w="1234"/>
          </w:tcPr>
          <w:p>
            <w:r>
              <w:t>0.8099</w:t>
            </w:r>
          </w:p>
        </w:tc>
        <w:tc>
          <w:tcPr>
            <w:tcW w:type="dxa" w:w="1234"/>
          </w:tcPr>
          <w:p>
            <w:r>
              <w:t>0.9894</w:t>
            </w:r>
          </w:p>
        </w:tc>
        <w:tc>
          <w:tcPr>
            <w:tcW w:type="dxa" w:w="1234"/>
          </w:tcPr>
          <w:p>
            <w:r>
              <w:t>0.8907</w:t>
            </w:r>
          </w:p>
        </w:tc>
        <w:tc>
          <w:tcPr>
            <w:tcW w:type="dxa" w:w="1234"/>
          </w:tcPr>
          <w:p>
            <w:r>
              <w:t>0.9841</w:t>
            </w:r>
          </w:p>
        </w:tc>
        <w:tc>
          <w:tcPr>
            <w:tcW w:type="dxa" w:w="1234"/>
          </w:tcPr>
          <w:p>
            <w:r>
              <w:t>0.9881</w:t>
            </w:r>
          </w:p>
        </w:tc>
      </w:tr>
      <w:tr>
        <w:tc>
          <w:tcPr>
            <w:tcW w:type="dxa" w:w="1234"/>
          </w:tcPr>
          <w:p>
            <w:r>
              <w:t>DecisionTree (tuned)</w:t>
            </w:r>
          </w:p>
        </w:tc>
        <w:tc>
          <w:tcPr>
            <w:tcW w:type="dxa" w:w="1234"/>
          </w:tcPr>
          <w:p>
            <w:r>
              <w:t>0.8601</w:t>
            </w:r>
          </w:p>
        </w:tc>
        <w:tc>
          <w:tcPr>
            <w:tcW w:type="dxa" w:w="1234"/>
          </w:tcPr>
          <w:p>
            <w:r>
              <w:t>0.8098</w:t>
            </w:r>
          </w:p>
        </w:tc>
        <w:tc>
          <w:tcPr>
            <w:tcW w:type="dxa" w:w="1234"/>
          </w:tcPr>
          <w:p>
            <w:r>
              <w:t>0.9749</w:t>
            </w:r>
          </w:p>
        </w:tc>
        <w:tc>
          <w:tcPr>
            <w:tcW w:type="dxa" w:w="1234"/>
          </w:tcPr>
          <w:p>
            <w:r>
              <w:t>0.8847</w:t>
            </w:r>
          </w:p>
        </w:tc>
        <w:tc>
          <w:tcPr>
            <w:tcW w:type="dxa" w:w="1234"/>
          </w:tcPr>
          <w:p>
            <w:r>
              <w:t>0.9693</w:t>
            </w:r>
          </w:p>
        </w:tc>
        <w:tc>
          <w:tcPr>
            <w:tcW w:type="dxa" w:w="1234"/>
          </w:tcPr>
          <w:p>
            <w:r>
              <w:t>0.9680</w:t>
            </w:r>
          </w:p>
        </w:tc>
      </w:tr>
      <w:tr>
        <w:tc>
          <w:tcPr>
            <w:tcW w:type="dxa" w:w="1234"/>
          </w:tcPr>
          <w:p>
            <w:r>
              <w:t>LogisticRegression (tuned)</w:t>
            </w:r>
          </w:p>
        </w:tc>
        <w:tc>
          <w:tcPr>
            <w:tcW w:type="dxa" w:w="1234"/>
          </w:tcPr>
          <w:p>
            <w:r>
              <w:t>0.8100</w:t>
            </w:r>
          </w:p>
        </w:tc>
        <w:tc>
          <w:tcPr>
            <w:tcW w:type="dxa" w:w="1234"/>
          </w:tcPr>
          <w:p>
            <w:r>
              <w:t>0.7550</w:t>
            </w:r>
          </w:p>
        </w:tc>
        <w:tc>
          <w:tcPr>
            <w:tcW w:type="dxa" w:w="1234"/>
          </w:tcPr>
          <w:p>
            <w:r>
              <w:t>0.9696</w:t>
            </w:r>
          </w:p>
        </w:tc>
        <w:tc>
          <w:tcPr>
            <w:tcW w:type="dxa" w:w="1234"/>
          </w:tcPr>
          <w:p>
            <w:r>
              <w:t>0.8490</w:t>
            </w:r>
          </w:p>
        </w:tc>
        <w:tc>
          <w:tcPr>
            <w:tcW w:type="dxa" w:w="1234"/>
          </w:tcPr>
          <w:p>
            <w:r>
              <w:t>0.9531</w:t>
            </w:r>
          </w:p>
        </w:tc>
        <w:tc>
          <w:tcPr>
            <w:tcW w:type="dxa" w:w="1234"/>
          </w:tcPr>
          <w:p>
            <w:r>
              <w:t>0.9650</w:t>
            </w:r>
          </w:p>
        </w:tc>
      </w:tr>
      <w:tr>
        <w:tc>
          <w:tcPr>
            <w:tcW w:type="dxa" w:w="1234"/>
          </w:tcPr>
          <w:p>
            <w:r>
              <w:t>Dummy</w:t>
            </w:r>
          </w:p>
        </w:tc>
        <w:tc>
          <w:tcPr>
            <w:tcW w:type="dxa" w:w="1234"/>
          </w:tcPr>
          <w:p>
            <w:r>
              <w:t>0.5506</w:t>
            </w:r>
          </w:p>
        </w:tc>
        <w:tc>
          <w:tcPr>
            <w:tcW w:type="dxa" w:w="1234"/>
          </w:tcPr>
          <w:p>
            <w:r>
              <w:t>0.5506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0.7102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0.5506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58105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del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11: Test-metric comparison across models.</w:t>
      </w:r>
    </w:p>
    <w:p>
      <w:pPr>
        <w:pStyle w:val="Heading1"/>
      </w:pPr>
      <w:r>
        <w:t>12. Error analysis</w:t>
      </w:r>
    </w:p>
    <w:p>
      <w:pPr>
        <w:spacing w:after="120"/>
      </w:pPr>
      <w:r>
        <w:rPr>
          <w:b w:val="0"/>
          <w:i w:val="0"/>
          <w:sz w:val="22"/>
        </w:rPr>
        <w:t>False positives: 10,164 (27.47% of benign) - FPs skew toward long-lived, high-TTL benign flows (FP medians: dur 0.676 vs 0.063 for correctly-benign; rate 27.2 vs 654.5; sttl 254 vs 31). FP protocol/state composition: 71% TCP / 29% udp; 71% FIN / 29% INT. False negatives: 440 (0.97% of attacks). Hardest family: Fuzzers (372 of 6,062 missed, 6.14%); easiest: Backdoor (0 missed). Representative error rows ship in results/error_examples.csv.</w:t>
      </w:r>
    </w:p>
    <w:p>
      <w:r>
        <w:drawing>
          <wp:inline xmlns:a="http://schemas.openxmlformats.org/drawingml/2006/main" xmlns:pic="http://schemas.openxmlformats.org/drawingml/2006/picture">
            <wp:extent cx="5760720" cy="37310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recall_by_attack_fami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15: Recall by attack family (test).</w:t>
      </w:r>
    </w:p>
    <w:p>
      <w:pPr>
        <w:pStyle w:val="Heading1"/>
      </w:pPr>
      <w:r>
        <w:t>13. Interpretation and caveats</w:t>
      </w:r>
    </w:p>
    <w:p>
      <w:pPr>
        <w:spacing w:after="120"/>
      </w:pPr>
      <w:r>
        <w:rPr>
          <w:b w:val="0"/>
          <w:i w:val="0"/>
          <w:sz w:val="22"/>
        </w:rPr>
        <w:t>Permutation importance on a stratified 10% sample of the training partition (validation-side lens; test stays reserved): sttl dominating (0.3748) - the top feature is a known schema artifact of synthetic capture; the next features (dbytes 0.0228, sbytes 0.0202, ct_srv_dst 0.0174) are classic flow-shape signals. Importance is statistical, not causal: an important feature does NOT prove malicious intent, and sttl's dominance should not be read as a deployment-grade signal beyond UNSW-NB15-like traffics.</w:t>
      </w:r>
    </w:p>
    <w:p>
      <w:r>
        <w:drawing>
          <wp:inline xmlns:a="http://schemas.openxmlformats.org/drawingml/2006/main" xmlns:pic="http://schemas.openxmlformats.org/drawingml/2006/picture">
            <wp:extent cx="4937760" cy="35817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permutation_import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8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13: Permutation importance.</w:t>
      </w:r>
    </w:p>
    <w:p>
      <w:pPr>
        <w:pStyle w:val="Heading1"/>
      </w:pPr>
      <w:r>
        <w:t>14. Robustness, leakage sensitivity and limitations</w:t>
      </w:r>
    </w:p>
    <w:p>
      <w:pPr>
        <w:spacing w:after="120"/>
      </w:pPr>
      <w:r>
        <w:rPr>
          <w:b w:val="0"/>
          <w:i w:val="0"/>
          <w:sz w:val="22"/>
        </w:rPr>
        <w:t>Leakage sensitivity: the official release itself shares exact flows across the partitions - 4,247 test rows (5.16%) exactly duplicate training flows. Primary published metrics stand on all test rows; metrics on the unique-only subset are also disclosed (accuracy 0.8679, precision 0.8090, recall 0.9896, F1 0.8902), quantifying the release's own inflation.</w:t>
      </w:r>
    </w:p>
    <w:p>
      <w:pPr>
        <w:pStyle w:val="ListBullet"/>
      </w:pPr>
      <w:r>
        <w:t>FPR 27.47%: major limitation; consequence of the official train/test shift and the recall-favouring threshold; honest deployment-wise follow-up is threshold/cost calibration per environment.</w:t>
      </w:r>
    </w:p>
    <w:p>
      <w:pPr>
        <w:pStyle w:val="ListBullet"/>
      </w:pPr>
      <w:r>
        <w:t>sttl dominance (0.3748): synthetic-capture schema artifact; does not extrapolate to other networks.</w:t>
      </w:r>
    </w:p>
    <w:p>
      <w:pPr>
        <w:pStyle w:val="ListBullet"/>
      </w:pPr>
      <w:r>
        <w:t>Multi-class macro-F1 0.5129: Analysis (recall 38.26%), DoS (recall 12.40%) are genuinely hard in UNSW-NB15.</w:t>
      </w:r>
    </w:p>
    <w:p>
      <w:pPr>
        <w:pStyle w:val="ListBullet"/>
      </w:pPr>
      <w:r>
        <w:t>Demo accuracy 80% on 10 held-out records: a small-sample sanity check, not a validation claim.</w:t>
      </w:r>
    </w:p>
    <w:p>
      <w:pPr>
        <w:pStyle w:val="ListBullet"/>
      </w:pPr>
      <w:r>
        <w:t>Dataset is a fixed benchmark; no new attack families can appear beyond the released 10.</w:t>
      </w:r>
    </w:p>
    <w:p>
      <w:pPr>
        <w:pStyle w:val="Heading1"/>
      </w:pPr>
      <w:r>
        <w:t>15. Optional multi-class extension</w:t>
      </w:r>
    </w:p>
    <w:p>
      <w:pPr>
        <w:spacing w:after="120"/>
      </w:pPr>
      <w:r>
        <w:rPr>
          <w:b w:val="0"/>
          <w:i w:val="0"/>
          <w:sz w:val="22"/>
        </w:rPr>
        <w:t>Constrained RandomForest (150 trees, depth 20, leaf 2, balanced_subsample) on 10 families: test accuracy 0.6814, macro-F1 0.5129, weighted-F1 0.7345. Analysis and DoS recall genuinely weak (below 0.5) - a benchmark limitation, documented not ignored.</w:t>
      </w:r>
    </w:p>
    <w:p>
      <w:r>
        <w:drawing>
          <wp:inline xmlns:a="http://schemas.openxmlformats.org/drawingml/2006/main" xmlns:pic="http://schemas.openxmlformats.org/drawingml/2006/picture">
            <wp:extent cx="5486400" cy="49897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multiclass_confus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16: 10-family confusion matrix.</w:t>
      </w:r>
    </w:p>
    <w:p>
      <w:pPr>
        <w:pStyle w:val="Heading1"/>
      </w:pPr>
      <w:r>
        <w:t>16. Conclusion and future work</w:t>
      </w:r>
    </w:p>
    <w:p>
      <w:pPr>
        <w:spacing w:after="120"/>
      </w:pPr>
      <w:r>
        <w:rPr>
          <w:b w:val="0"/>
          <w:i w:val="0"/>
          <w:sz w:val="22"/>
        </w:rPr>
        <w:t>Under one strict leakage regime, HistGradientBoosting (tuned) delivers test F1 0.8944 (accuracy 0.8712, recall 0.9903) with the honest caveat of a 27.47% false-alarm rate rooted in the release's own train/test shift. Future work: distribution-aware thresholds, cost-sensitive selection, calibration per deployment environment, external validation on other captures, and per-family threshold tuning.</w:t>
      </w:r>
    </w:p>
    <w:p>
      <w:r>
        <w:drawing>
          <wp:inline xmlns:a="http://schemas.openxmlformats.org/drawingml/2006/main" xmlns:pic="http://schemas.openxmlformats.org/drawingml/2006/picture">
            <wp:extent cx="5760720" cy="36285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17: Project architecture (data to findings).</w:t>
      </w:r>
    </w:p>
    <w:p>
      <w:pPr>
        <w:pStyle w:val="Heading1"/>
      </w:pPr>
      <w:r>
        <w:t>17. References</w:t>
      </w:r>
    </w:p>
    <w:p>
      <w:pPr>
        <w:pStyle w:val="ListNumber"/>
      </w:pPr>
      <w:r>
        <w:t>N. Moustafa and J. Slay, "UNSW-NB15: a comprehensive data set for network intrusion detection systems." Military Communications and Information Systems Conference (MilCIS), 2015.</w:t>
      </w:r>
    </w:p>
    <w:p>
      <w:pPr>
        <w:pStyle w:val="ListNumber"/>
      </w:pPr>
      <w:r>
        <w:t>N. Moustafa, G. Creech, and J. Slay, "Big data analytics for large scale wireless network security and attack detection." AFRICOMM, 2015.</w:t>
      </w:r>
    </w:p>
    <w:p>
      <w:pPr>
        <w:pStyle w:val="ListNumber"/>
      </w:pPr>
      <w:r>
        <w:t>N. Moustafa and J. Slay, "The evaluation of network anomaly detection systems: statistical analysis of the UNSW-NB15 dataset and the comparison with the KDD99 dataset." Information Security Journal: A Global Perspective, 25(1-3):18-31, 2016.</w:t>
      </w:r>
    </w:p>
    <w:p>
      <w:pPr>
        <w:pStyle w:val="ListNumber"/>
      </w:pPr>
      <w:r>
        <w:t>L. Breiman, "Random forests." Machine Learning, 45(1):5-32, 2001.</w:t>
      </w:r>
    </w:p>
    <w:p>
      <w:pPr>
        <w:pStyle w:val="ListNumber"/>
      </w:pPr>
      <w:r>
        <w:t>L. Breiman, J. Friedman, R. Olshen, and C. Stone, "Classification and Regression Trees." Chapman &amp; Hall/CRC, 1984.</w:t>
      </w:r>
    </w:p>
    <w:p>
      <w:pPr>
        <w:pStyle w:val="ListNumber"/>
      </w:pPr>
      <w:r>
        <w:t>T. Hastie, R. Tibshirani, and J. Friedman, "The Elements of Statistical Learning: Data Mining, Inference, and Prediction," 2nd ed. Springer, 2009.</w:t>
      </w:r>
    </w:p>
    <w:p>
      <w:pPr>
        <w:pStyle w:val="ListNumber"/>
      </w:pPr>
      <w:r>
        <w:t>F. Pedregosa et al., "Scikit-learn: machine learning in Python." Journal of Machine Learning Research, 12:2825-2830, 2011.</w:t>
      </w:r>
    </w:p>
    <w:p>
      <w:pPr>
        <w:pStyle w:val="ListNumber"/>
      </w:pPr>
      <w:r>
        <w:t>W. McKinney, "Data structures for statistical computing in Python." SciPy 2010 (pandas).</w:t>
      </w:r>
    </w:p>
    <w:p>
      <w:pPr>
        <w:pStyle w:val="ListNumber"/>
      </w:pPr>
      <w:r>
        <w:t>C. R. Harris et al., "Array programming with NumPy." Nature, 585:357-362, 2020.</w:t>
      </w:r>
    </w:p>
    <w:p>
      <w:pPr>
        <w:pStyle w:val="ListNumber"/>
      </w:pPr>
      <w:r>
        <w:t>J. D. Hunter, "Matplotlib: a 2D graphics environment." Computing in Science &amp; Engineering, 9(3):90-95, 2007.</w:t>
      </w:r>
    </w:p>
    <w:p>
      <w:pPr>
        <w:pStyle w:val="Heading1"/>
      </w:pPr>
      <w:r>
        <w:t>Appendix A - Reproduction instructions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-m src.download_data   # fetch + verify UNSW-NB15</w:t>
      </w:r>
    </w:p>
    <w:p>
      <w:pPr>
        <w:pStyle w:val="ListBullet"/>
      </w:pPr>
      <w:r>
        <w:t>python -m src.train           # full pipeline (~6.2 min on a 20-core machine)</w:t>
      </w:r>
    </w:p>
    <w:p>
      <w:pPr>
        <w:pStyle w:val="ListBullet"/>
      </w:pPr>
      <w:r>
        <w:t>jupyter lab notebooks/Cybersecurity_Intrusion_Detection.ipynb</w:t>
      </w:r>
    </w:p>
    <w:p>
      <w:pPr>
        <w:pStyle w:val="ListBullet"/>
      </w:pPr>
      <w:r>
        <w:t>streamlit run app/app.py</w:t>
      </w:r>
    </w:p>
    <w:p>
      <w:pPr>
        <w:pStyle w:val="ListBullet"/>
      </w:pPr>
      <w:r>
        <w:t>pytest</w:t>
      </w:r>
    </w:p>
    <w:p>
      <w:pPr>
        <w:pStyle w:val="Heading1"/>
      </w:pPr>
      <w:r>
        <w:t>Appendix B - Figure and table register</w:t>
      </w:r>
    </w:p>
    <w:p>
      <w:pPr>
        <w:pStyle w:val="ListNumber"/>
      </w:pPr>
      <w:r>
        <w:t>Figure 1: Class balance - benign vs malicious per partition.</w:t>
      </w:r>
    </w:p>
    <w:p>
      <w:pPr>
        <w:pStyle w:val="ListNumber"/>
      </w:pPr>
      <w:r>
        <w:t>Figure 2: Attack-family counts per partition.</w:t>
      </w:r>
    </w:p>
    <w:p>
      <w:pPr>
        <w:pStyle w:val="ListNumber"/>
      </w:pPr>
      <w:r>
        <w:t>Figure 3: Key feature histograms by class.</w:t>
      </w:r>
    </w:p>
    <w:p>
      <w:pPr>
        <w:pStyle w:val="ListNumber"/>
      </w:pPr>
      <w:r>
        <w:t>Figure 4: Box plots separating benign and malicious flows.</w:t>
      </w:r>
    </w:p>
    <w:p>
      <w:pPr>
        <w:pStyle w:val="ListNumber"/>
      </w:pPr>
      <w:r>
        <w:t>Figure 5: Feature correlation matrix.</w:t>
      </w:r>
    </w:p>
    <w:p>
      <w:pPr>
        <w:pStyle w:val="ListNumber"/>
      </w:pPr>
      <w:r>
        <w:t>Figure 6: Missing cells and duplicate counts.</w:t>
      </w:r>
    </w:p>
    <w:p>
      <w:pPr>
        <w:pStyle w:val="ListNumber"/>
      </w:pPr>
      <w:r>
        <w:t>Figure 7: proto/service/state by attack share.</w:t>
      </w:r>
    </w:p>
    <w:p>
      <w:pPr>
        <w:pStyle w:val="ListNumber"/>
      </w:pPr>
      <w:r>
        <w:t>Figure 8: ROC curves on the untouched testing partition.</w:t>
      </w:r>
    </w:p>
    <w:p>
      <w:pPr>
        <w:pStyle w:val="ListNumber"/>
      </w:pPr>
      <w:r>
        <w:t>Figure 9: Precision-recall curves on the testing partition.</w:t>
      </w:r>
    </w:p>
    <w:p>
      <w:pPr>
        <w:pStyle w:val="ListNumber"/>
      </w:pPr>
      <w:r>
        <w:t>Figure 10: Confusion matrix of the chosen model (test).</w:t>
      </w:r>
    </w:p>
    <w:p>
      <w:pPr>
        <w:pStyle w:val="ListNumber"/>
      </w:pPr>
      <w:r>
        <w:t>Figure 10b: Class-normalised confusion matrix.</w:t>
      </w:r>
    </w:p>
    <w:p>
      <w:pPr>
        <w:pStyle w:val="ListNumber"/>
      </w:pPr>
      <w:r>
        <w:t>Figure 11: Test-metric comparison across models.</w:t>
      </w:r>
    </w:p>
    <w:p>
      <w:pPr>
        <w:pStyle w:val="ListNumber"/>
      </w:pPr>
      <w:r>
        <w:t>Figure 12: Operating-threshold trade-off (validation slice).</w:t>
      </w:r>
    </w:p>
    <w:p>
      <w:pPr>
        <w:pStyle w:val="ListNumber"/>
      </w:pPr>
      <w:r>
        <w:t>Figure 13: Permutation importance.</w:t>
      </w:r>
    </w:p>
    <w:p>
      <w:pPr>
        <w:pStyle w:val="ListNumber"/>
      </w:pPr>
      <w:r>
        <w:t>Figure 14: Calibration of the chosen model.</w:t>
      </w:r>
    </w:p>
    <w:p>
      <w:pPr>
        <w:pStyle w:val="ListNumber"/>
      </w:pPr>
      <w:r>
        <w:t>Figure 15: Recall by attack family (test).</w:t>
      </w:r>
    </w:p>
    <w:p>
      <w:pPr>
        <w:pStyle w:val="ListNumber"/>
      </w:pPr>
      <w:r>
        <w:t>Figure 16: 10-family confusion matrix.</w:t>
      </w:r>
    </w:p>
    <w:p>
      <w:pPr>
        <w:pStyle w:val="ListNumber"/>
      </w:pPr>
      <w:r>
        <w:t>Figure 17: Project architecture (data to findings).</w:t>
      </w:r>
    </w:p>
    <w:p>
      <w:pPr>
        <w:pStyle w:val="Heading1"/>
      </w:pPr>
      <w:r>
        <w:t>Appendix C - Honesty statement</w:t>
      </w:r>
    </w:p>
    <w:p>
      <w:pPr>
        <w:spacing w:after="120"/>
      </w:pPr>
      <w:r>
        <w:rPr>
          <w:b w:val="0"/>
          <w:i w:val="0"/>
          <w:sz w:val="22"/>
        </w:rPr>
        <w:t>Every number in this report is verbatim from results/findings.md or sibling result files produced by one pipeline run; no metric or reference is invented. Unflattering results (FPR ~27%, macro-F1 0.5129, demo 80%) are disclosed, not hidden.</w:t>
      </w:r>
    </w:p>
    <w:p>
      <w:pPr>
        <w:spacing w:after="120"/>
      </w:pPr>
      <w:r>
        <w:rPr>
          <w:b w:val="0"/>
          <w:i w:val="0"/>
          <w:sz w:val="22"/>
        </w:rPr>
        <w:t>Data redistribution note: UNSW-NB15 files are not shipped with the repository - use src/download_data.py.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